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152F" w:rsidTr="004F1B82">
        <w:tc>
          <w:tcPr>
            <w:tcW w:w="4606" w:type="dxa"/>
            <w:hideMark/>
          </w:tcPr>
          <w:p w:rsidR="009C152F" w:rsidRDefault="009C152F" w:rsidP="004F1B82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KARTA CHARAKTERYSTYKI ZGODNA Z ROZPORZĄDZENIEM REACH  (EC) 1907/2006</w:t>
            </w:r>
          </w:p>
        </w:tc>
        <w:tc>
          <w:tcPr>
            <w:tcW w:w="4606" w:type="dxa"/>
            <w:hideMark/>
          </w:tcPr>
          <w:p w:rsidR="009C152F" w:rsidRDefault="0064630E" w:rsidP="004F1B82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Wersja 3.2 (22/02</w:t>
            </w:r>
            <w:r w:rsidR="009C152F">
              <w:rPr>
                <w:rFonts w:ascii="Times-Roman" w:hAnsi="Times-Roman" w:cs="Times-Roman"/>
              </w:rPr>
              <w:t>/2017) PL</w:t>
            </w:r>
          </w:p>
        </w:tc>
      </w:tr>
    </w:tbl>
    <w:p w:rsidR="009C152F" w:rsidRDefault="009C152F" w:rsidP="009C152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9C152F" w:rsidRPr="0064630E" w:rsidRDefault="009C152F" w:rsidP="009C15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64630E">
        <w:rPr>
          <w:rFonts w:ascii="Times-Roman" w:hAnsi="Times-Roman" w:cs="Times-Roman"/>
        </w:rPr>
        <w:t>BALEV CORPORATION EOOD</w:t>
      </w:r>
    </w:p>
    <w:p w:rsidR="009C152F" w:rsidRPr="0064630E" w:rsidRDefault="009C152F" w:rsidP="009C15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9C152F" w:rsidRPr="0064630E" w:rsidRDefault="0064630E" w:rsidP="009C15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Bold" w:hAnsi="Times-Bold" w:cs="Times-Bold"/>
          <w:b/>
          <w:noProof/>
          <w:lang w:eastAsia="pl-PL"/>
        </w:rPr>
        <w:drawing>
          <wp:inline distT="0" distB="0" distL="0" distR="0" wp14:anchorId="1377FBCA" wp14:editId="7D032DB3">
            <wp:extent cx="19240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2F" w:rsidRDefault="00E557F0" w:rsidP="007961D9">
      <w:pPr>
        <w:jc w:val="center"/>
        <w:rPr>
          <w:rFonts w:ascii="Times-Bold" w:hAnsi="Times-Bold" w:cs="Times-Bold"/>
          <w:b/>
          <w:bCs/>
        </w:rPr>
      </w:pPr>
      <w:r w:rsidRPr="0064630E">
        <w:rPr>
          <w:rFonts w:ascii="Times-Bold" w:hAnsi="Times-Bold" w:cs="Times-Bold"/>
          <w:b/>
          <w:bCs/>
        </w:rPr>
        <w:t xml:space="preserve">AREON </w:t>
      </w:r>
      <w:r w:rsidR="007961D9" w:rsidRPr="007961D9">
        <w:rPr>
          <w:rFonts w:ascii="Times-Bold" w:hAnsi="Times-Bold" w:cs="Times-Bold"/>
          <w:b/>
          <w:bCs/>
        </w:rPr>
        <w:t>PEARLS BLACK CRYSTAL - ABP01</w:t>
      </w:r>
    </w:p>
    <w:p w:rsidR="009C152F" w:rsidRDefault="009C152F" w:rsidP="009C152F">
      <w:pPr>
        <w:jc w:val="center"/>
        <w:rPr>
          <w:rFonts w:ascii="Times-Bold" w:hAnsi="Times-Bold" w:cs="Times-Bold"/>
          <w:b/>
          <w:bCs/>
          <w:sz w:val="26"/>
        </w:rPr>
      </w:pPr>
      <w:r>
        <w:rPr>
          <w:rFonts w:ascii="Times-Bold" w:hAnsi="Times-Bold" w:cs="Times-Bold"/>
          <w:b/>
          <w:bCs/>
          <w:sz w:val="26"/>
        </w:rPr>
        <w:t>KARTA CHARAKTERYSTYKI</w:t>
      </w:r>
    </w:p>
    <w:p w:rsidR="009C152F" w:rsidRDefault="009C152F" w:rsidP="009C152F">
      <w:pPr>
        <w:jc w:val="center"/>
        <w:rPr>
          <w:rFonts w:ascii="Times-Bold" w:hAnsi="Times-Bold"/>
        </w:rPr>
      </w:pPr>
      <w:r>
        <w:rPr>
          <w:rFonts w:ascii="Times bold" w:hAnsi="Times bold"/>
        </w:rPr>
        <w:t>(</w:t>
      </w:r>
      <w:r>
        <w:rPr>
          <w:rFonts w:ascii="Times-Bold" w:hAnsi="Times-Bold"/>
        </w:rPr>
        <w:t>ROZPORZĄDZENIE REACH (EC) Nr. 1907/2006 – nr. 2015/830)</w:t>
      </w:r>
    </w:p>
    <w:p w:rsidR="009C152F" w:rsidRDefault="009C152F" w:rsidP="009C152F">
      <w:pPr>
        <w:rPr>
          <w:rFonts w:ascii="Times-Bold" w:hAnsi="Times-Bold"/>
        </w:rPr>
      </w:pPr>
    </w:p>
    <w:p w:rsidR="009C152F" w:rsidRDefault="009C152F" w:rsidP="009C152F">
      <w:pPr>
        <w:rPr>
          <w:rFonts w:ascii="Times-Bold" w:hAnsi="Times-Bold"/>
          <w:b/>
          <w:sz w:val="26"/>
        </w:rPr>
      </w:pPr>
      <w:r>
        <w:rPr>
          <w:rFonts w:ascii="Times-Bold" w:hAnsi="Times-Bold"/>
          <w:b/>
          <w:sz w:val="26"/>
        </w:rPr>
        <w:t>SEKCJA 1: IDENTYFIKACJA SUBSTANCJI/ MIESZANINY I IDENTYFIKACJA PRZEDSIĘBIORSTWA</w:t>
      </w:r>
    </w:p>
    <w:p w:rsidR="009C152F" w:rsidRDefault="009C152F" w:rsidP="009C152F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1.1 Identyfikator produktu</w:t>
      </w:r>
    </w:p>
    <w:p w:rsidR="009C152F" w:rsidRPr="00E557F0" w:rsidRDefault="009C152F" w:rsidP="009C152F">
      <w:pPr>
        <w:rPr>
          <w:rFonts w:ascii="Times-Bold" w:hAnsi="Times-Bold"/>
        </w:rPr>
      </w:pPr>
      <w:r w:rsidRPr="00E557F0">
        <w:rPr>
          <w:rFonts w:ascii="Times-Bold" w:hAnsi="Times-Bold"/>
        </w:rPr>
        <w:t xml:space="preserve">Nazwa produktu: </w:t>
      </w:r>
      <w:r w:rsidR="007961D9" w:rsidRPr="007961D9">
        <w:rPr>
          <w:rFonts w:ascii="Times-Bold" w:hAnsi="Times-Bold"/>
        </w:rPr>
        <w:t>AREON PEARLS BLACK CRYSTAL</w:t>
      </w:r>
    </w:p>
    <w:p w:rsidR="009C152F" w:rsidRDefault="007961D9" w:rsidP="009C152F">
      <w:pPr>
        <w:rPr>
          <w:rFonts w:ascii="Times-Bold" w:hAnsi="Times-Bold"/>
        </w:rPr>
      </w:pPr>
      <w:r>
        <w:rPr>
          <w:rFonts w:ascii="Times-Bold" w:hAnsi="Times-Bold"/>
        </w:rPr>
        <w:t>Kod produktu: ABP01.</w:t>
      </w:r>
    </w:p>
    <w:p w:rsidR="009C152F" w:rsidRDefault="009C152F" w:rsidP="009C152F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1.2 Istotne zidentyfikowane zastosowania substancji lub mieszaniny oraz zastosowania odradzane</w:t>
      </w:r>
    </w:p>
    <w:p w:rsidR="009C152F" w:rsidRDefault="009C152F" w:rsidP="009C152F">
      <w:pPr>
        <w:rPr>
          <w:rFonts w:ascii="Times-Bold" w:hAnsi="Times-Bold"/>
        </w:rPr>
      </w:pPr>
      <w:r>
        <w:rPr>
          <w:rFonts w:ascii="Times-Bold" w:hAnsi="Times-Bold"/>
        </w:rPr>
        <w:t>ODŚWIEŻACZ POWIETRZA</w:t>
      </w:r>
    </w:p>
    <w:p w:rsidR="009C152F" w:rsidRDefault="009C152F" w:rsidP="009C152F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1.3 Dane dotyczące dostawcy karty charakterystyki</w:t>
      </w:r>
    </w:p>
    <w:p w:rsidR="009C152F" w:rsidRDefault="009C152F" w:rsidP="009C152F">
      <w:pPr>
        <w:rPr>
          <w:rFonts w:ascii="Times-Bold" w:hAnsi="Times-Bold"/>
        </w:rPr>
      </w:pPr>
      <w:r>
        <w:rPr>
          <w:rFonts w:ascii="Times-Bold" w:hAnsi="Times-Bold"/>
        </w:rPr>
        <w:t>Zarejestrowana nazwa firmy: BALEV CORPORATION EOOD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Bold" w:hAnsi="Times-Bold"/>
        </w:rPr>
        <w:t xml:space="preserve">Adres: </w:t>
      </w:r>
      <w:r>
        <w:rPr>
          <w:rFonts w:ascii="Times-Roman" w:hAnsi="Times-Roman" w:cs="Times-Roman"/>
        </w:rPr>
        <w:t>260, BLVD VLADISLAV VARNENCHIK 9000, VARNA, BUŁGARIA</w:t>
      </w:r>
    </w:p>
    <w:p w:rsidR="009C152F" w:rsidRDefault="009C152F" w:rsidP="009C152F">
      <w:pPr>
        <w:rPr>
          <w:rFonts w:ascii="Times-Roman" w:hAnsi="Times-Roman" w:cs="Times-Roman"/>
          <w:lang w:val="de-DE"/>
        </w:rPr>
      </w:pPr>
      <w:r>
        <w:rPr>
          <w:rFonts w:ascii="Times-Roman" w:hAnsi="Times-Roman" w:cs="Times-Roman"/>
          <w:lang w:val="de-DE"/>
        </w:rPr>
        <w:t>Telefon: +35929502000,  Fax : +35929502002.</w:t>
      </w:r>
    </w:p>
    <w:p w:rsidR="009C152F" w:rsidRDefault="009C152F" w:rsidP="009C152F">
      <w:pPr>
        <w:rPr>
          <w:rFonts w:ascii="Times-Roman" w:hAnsi="Times-Roman" w:cs="Times-Roman"/>
          <w:lang w:val="de-DE"/>
        </w:rPr>
      </w:pPr>
      <w:proofErr w:type="spellStart"/>
      <w:r>
        <w:rPr>
          <w:rFonts w:ascii="Times-Roman" w:hAnsi="Times-Roman" w:cs="Times-Roman"/>
          <w:lang w:val="de-DE"/>
        </w:rPr>
        <w:t>e-mail</w:t>
      </w:r>
      <w:proofErr w:type="spellEnd"/>
      <w:r>
        <w:rPr>
          <w:rFonts w:ascii="Times-Roman" w:hAnsi="Times-Roman" w:cs="Times-Roman"/>
          <w:lang w:val="de-DE"/>
        </w:rPr>
        <w:t>: office@areon-fresh.com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www: www.areon-fresh.com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1.4 Numer telefonu alarmowego: 112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Stowarzyszenie/ Organizacja: NA.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2: IDENTYFIKACJA ZAGROŻEŃ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2.1 Klasyfikacja substancji lub mieszaniny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Zgodna z rozporządzeniem EC nr. 1272/2008 z późniejszymi zmianami.</w:t>
      </w:r>
    </w:p>
    <w:p w:rsidR="00FC58B0" w:rsidRDefault="002F2F28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Uczulająca skórę, kategoria 1B, </w:t>
      </w:r>
      <w:r w:rsidRPr="002F2F28">
        <w:rPr>
          <w:rFonts w:ascii="Times-Roman" w:hAnsi="Times-Roman" w:cs="Times-Roman"/>
        </w:rPr>
        <w:t>(Skin Sens. 1B, H317).</w:t>
      </w:r>
    </w:p>
    <w:p w:rsidR="00B61C7B" w:rsidRDefault="009C152F" w:rsidP="009C152F">
      <w:pPr>
        <w:rPr>
          <w:rFonts w:ascii="Times-Roman" w:hAnsi="Times-Roman" w:cs="Times-Roman"/>
        </w:rPr>
      </w:pPr>
      <w:r w:rsidRPr="00DD6FA8">
        <w:rPr>
          <w:rFonts w:ascii="Times-Roman" w:hAnsi="Times-Roman" w:cs="Times-Roman"/>
        </w:rPr>
        <w:t>Mieszanina nie stanowi fizycznego zagrożenia. Należy odnieść się do zaleceń dotyczących pozostałych produktów dostępnych na stronie.</w:t>
      </w:r>
    </w:p>
    <w:p w:rsidR="008354AE" w:rsidRDefault="008354AE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nie stanowi</w:t>
      </w:r>
      <w:r w:rsidRPr="006C0190">
        <w:rPr>
          <w:rFonts w:ascii="Times-Roman" w:hAnsi="Times-Roman" w:cs="Times-Roman"/>
        </w:rPr>
        <w:t xml:space="preserve"> zagrożenia</w:t>
      </w:r>
      <w:r>
        <w:rPr>
          <w:rFonts w:ascii="Times-Roman" w:hAnsi="Times-Roman" w:cs="Times-Roman"/>
        </w:rPr>
        <w:t xml:space="preserve"> dla środowiska</w:t>
      </w:r>
      <w:r w:rsidRPr="006C0190">
        <w:rPr>
          <w:rFonts w:ascii="Times-Roman" w:hAnsi="Times-Roman" w:cs="Times-Roman"/>
        </w:rPr>
        <w:t xml:space="preserve">. </w:t>
      </w:r>
      <w:r>
        <w:rPr>
          <w:rFonts w:ascii="Times-Roman" w:hAnsi="Times-Roman" w:cs="Times-Roman"/>
        </w:rPr>
        <w:t>Brak znanych lub przewidywanych zagrożeń dla środowiska po spełnieniu standardowych warunków użytkowania.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2.2 Elementy oznakowania</w:t>
      </w:r>
    </w:p>
    <w:p w:rsidR="009C152F" w:rsidRDefault="009C152F" w:rsidP="009C15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  <w:r>
        <w:rPr>
          <w:rFonts w:ascii="Times-Roman" w:hAnsi="Times-Roman" w:cs="Times-Roman"/>
          <w:b/>
          <w:szCs w:val="18"/>
        </w:rPr>
        <w:t>Zgodna z rozporządzeniem EC nr. 1272/2008 z późniejszymi zmianami.</w:t>
      </w:r>
    </w:p>
    <w:p w:rsidR="00E557F0" w:rsidRPr="00BE0B8D" w:rsidRDefault="00E557F0" w:rsidP="00B61C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</w:p>
    <w:p w:rsidR="002F2F28" w:rsidRPr="00C51963" w:rsidRDefault="002F2F28" w:rsidP="002F2F2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 w:rsidRPr="00C51963">
        <w:rPr>
          <w:rFonts w:ascii="Times-Roman" w:hAnsi="Times-Roman" w:cs="Times-Roman"/>
          <w:szCs w:val="18"/>
        </w:rPr>
        <w:t>Piktogramy określające rodzaj zagrożenia:</w:t>
      </w:r>
    </w:p>
    <w:p w:rsidR="002F2F28" w:rsidRPr="00BE0B8D" w:rsidRDefault="002F2F28" w:rsidP="002F2F2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</w:p>
    <w:p w:rsidR="002F2F28" w:rsidRPr="00BE0B8D" w:rsidRDefault="002F2F28" w:rsidP="002F2F28">
      <w:pPr>
        <w:rPr>
          <w:rFonts w:ascii="Times-Roman" w:hAnsi="Times-Roman" w:cs="Times-Roman"/>
          <w:szCs w:val="18"/>
        </w:rPr>
      </w:pPr>
      <w:r w:rsidRPr="00BE0B8D">
        <w:rPr>
          <w:rFonts w:ascii="Times-Roman" w:hAnsi="Times-Roman" w:cs="Times-Roman"/>
          <w:noProof/>
          <w:szCs w:val="18"/>
          <w:lang w:eastAsia="pl-PL"/>
        </w:rPr>
        <w:drawing>
          <wp:inline distT="0" distB="0" distL="0" distR="0" wp14:anchorId="294DAFC3" wp14:editId="245C9B57">
            <wp:extent cx="1219200" cy="12192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F28" w:rsidRPr="00BE0B8D" w:rsidRDefault="002F2F28" w:rsidP="002F2F28">
      <w:pPr>
        <w:rPr>
          <w:rFonts w:ascii="Times-Roman" w:hAnsi="Times-Roman" w:cs="Times-Roman"/>
          <w:szCs w:val="18"/>
        </w:rPr>
      </w:pPr>
      <w:r w:rsidRPr="00BE0B8D">
        <w:rPr>
          <w:rFonts w:ascii="Times-Roman" w:hAnsi="Times-Roman" w:cs="Times-Roman"/>
          <w:szCs w:val="18"/>
        </w:rPr>
        <w:tab/>
        <w:t>GHS07</w:t>
      </w:r>
      <w:r w:rsidRPr="00BE0B8D">
        <w:rPr>
          <w:rFonts w:ascii="Times-Roman" w:hAnsi="Times-Roman" w:cs="Times-Roman"/>
          <w:szCs w:val="18"/>
        </w:rPr>
        <w:tab/>
      </w:r>
      <w:r w:rsidRPr="00BE0B8D">
        <w:rPr>
          <w:rFonts w:ascii="Times-Roman" w:hAnsi="Times-Roman" w:cs="Times-Roman"/>
          <w:szCs w:val="18"/>
        </w:rPr>
        <w:tab/>
        <w:t xml:space="preserve">     </w:t>
      </w:r>
    </w:p>
    <w:p w:rsidR="002F2F28" w:rsidRDefault="002F2F28" w:rsidP="002F2F28">
      <w:pPr>
        <w:rPr>
          <w:rFonts w:ascii="Times-Roman" w:hAnsi="Times-Roman" w:cs="Times-Roman"/>
          <w:szCs w:val="18"/>
        </w:rPr>
      </w:pPr>
      <w:r w:rsidRPr="00BE0B8D">
        <w:rPr>
          <w:rFonts w:ascii="Times-Roman" w:hAnsi="Times-Roman" w:cs="Times-Roman"/>
          <w:szCs w:val="18"/>
        </w:rPr>
        <w:t>Hasło ostrzegawcze: NIEBEZPIECZEŃSTWO</w:t>
      </w:r>
    </w:p>
    <w:p w:rsidR="009C152F" w:rsidRDefault="002F2F28" w:rsidP="009C152F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Identyfikatory produktu:</w:t>
      </w:r>
    </w:p>
    <w:p w:rsidR="002F2F28" w:rsidRDefault="002F2F28" w:rsidP="009C152F">
      <w:pPr>
        <w:spacing w:after="0"/>
        <w:rPr>
          <w:rFonts w:ascii="Times-Roman" w:hAnsi="Times-Roman" w:cs="Times-Roman"/>
          <w:szCs w:val="18"/>
        </w:rPr>
      </w:pPr>
    </w:p>
    <w:p w:rsidR="007961D9" w:rsidRPr="00691692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  <w:r w:rsidRPr="00691692">
        <w:rPr>
          <w:rFonts w:ascii="Times-Roman" w:hAnsi="Times-Roman" w:cs="Times-Roman"/>
          <w:szCs w:val="18"/>
          <w:lang w:val="en-US"/>
        </w:rPr>
        <w:t xml:space="preserve">EC 250-954-9 </w:t>
      </w:r>
      <w:r w:rsidRPr="00691692">
        <w:rPr>
          <w:rFonts w:ascii="Times-Roman" w:hAnsi="Times-Roman" w:cs="Times-Roman"/>
          <w:szCs w:val="18"/>
          <w:lang w:val="en-US"/>
        </w:rPr>
        <w:tab/>
      </w:r>
      <w:r w:rsidRPr="00691692">
        <w:rPr>
          <w:rFonts w:ascii="Times-Roman" w:hAnsi="Times-Roman" w:cs="Times-Roman"/>
          <w:szCs w:val="18"/>
          <w:lang w:val="en-US"/>
        </w:rPr>
        <w:tab/>
        <w:t>4-TERT-BUTYLCYCLOHEXYL ACETATE</w:t>
      </w:r>
    </w:p>
    <w:p w:rsidR="007961D9" w:rsidRPr="00691692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  <w:r w:rsidRPr="00691692">
        <w:rPr>
          <w:rFonts w:ascii="Times-Roman" w:hAnsi="Times-Roman" w:cs="Times-Roman"/>
          <w:szCs w:val="18"/>
          <w:lang w:val="en-US"/>
        </w:rPr>
        <w:t xml:space="preserve">EC 204-872-5 </w:t>
      </w:r>
      <w:r w:rsidRPr="00691692">
        <w:rPr>
          <w:rFonts w:ascii="Times-Roman" w:hAnsi="Times-Roman" w:cs="Times-Roman"/>
          <w:szCs w:val="18"/>
          <w:lang w:val="en-US"/>
        </w:rPr>
        <w:tab/>
      </w:r>
      <w:r w:rsidRPr="00691692">
        <w:rPr>
          <w:rFonts w:ascii="Times-Roman" w:hAnsi="Times-Roman" w:cs="Times-Roman"/>
          <w:szCs w:val="18"/>
          <w:lang w:val="en-US"/>
        </w:rPr>
        <w:tab/>
        <w:t>BETA-PINENE</w:t>
      </w:r>
    </w:p>
    <w:p w:rsidR="007961D9" w:rsidRPr="00691692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  <w:r w:rsidRPr="00691692">
        <w:rPr>
          <w:rFonts w:ascii="Times-Roman" w:hAnsi="Times-Roman" w:cs="Times-Roman"/>
          <w:szCs w:val="18"/>
          <w:lang w:val="en-US"/>
        </w:rPr>
        <w:t xml:space="preserve">EC 204-846-3 </w:t>
      </w:r>
      <w:r w:rsidRPr="00691692">
        <w:rPr>
          <w:rFonts w:ascii="Times-Roman" w:hAnsi="Times-Roman" w:cs="Times-Roman"/>
          <w:szCs w:val="18"/>
          <w:lang w:val="en-US"/>
        </w:rPr>
        <w:tab/>
      </w:r>
      <w:r w:rsidRPr="00691692">
        <w:rPr>
          <w:rFonts w:ascii="Times-Roman" w:hAnsi="Times-Roman" w:cs="Times-Roman"/>
          <w:szCs w:val="18"/>
          <w:lang w:val="en-US"/>
        </w:rPr>
        <w:tab/>
        <w:t>ALPHA-ISO-METHYLIONONE</w:t>
      </w:r>
    </w:p>
    <w:p w:rsidR="007961D9" w:rsidRPr="00691692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  <w:r w:rsidRPr="00691692">
        <w:rPr>
          <w:rFonts w:ascii="Times-Roman" w:hAnsi="Times-Roman" w:cs="Times-Roman"/>
          <w:szCs w:val="18"/>
          <w:lang w:val="en-US"/>
        </w:rPr>
        <w:t xml:space="preserve">EC 207-431-5 </w:t>
      </w:r>
      <w:r w:rsidRPr="00691692">
        <w:rPr>
          <w:rFonts w:ascii="Times-Roman" w:hAnsi="Times-Roman" w:cs="Times-Roman"/>
          <w:szCs w:val="18"/>
          <w:lang w:val="en-US"/>
        </w:rPr>
        <w:tab/>
      </w:r>
      <w:r w:rsidRPr="00691692">
        <w:rPr>
          <w:rFonts w:ascii="Times-Roman" w:hAnsi="Times-Roman" w:cs="Times-Roman"/>
          <w:szCs w:val="18"/>
          <w:lang w:val="en-US"/>
        </w:rPr>
        <w:tab/>
        <w:t>EUCALYPTOL</w:t>
      </w:r>
    </w:p>
    <w:p w:rsidR="007961D9" w:rsidRPr="00691692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  <w:r w:rsidRPr="00691692">
        <w:rPr>
          <w:rFonts w:ascii="Times-Roman" w:hAnsi="Times-Roman" w:cs="Times-Roman"/>
          <w:szCs w:val="18"/>
          <w:lang w:val="en-US"/>
        </w:rPr>
        <w:t xml:space="preserve">EC 202-589-1 </w:t>
      </w:r>
      <w:r w:rsidRPr="00691692">
        <w:rPr>
          <w:rFonts w:ascii="Times-Roman" w:hAnsi="Times-Roman" w:cs="Times-Roman"/>
          <w:szCs w:val="18"/>
          <w:lang w:val="en-US"/>
        </w:rPr>
        <w:tab/>
      </w:r>
      <w:r w:rsidRPr="00691692">
        <w:rPr>
          <w:rFonts w:ascii="Times-Roman" w:hAnsi="Times-Roman" w:cs="Times-Roman"/>
          <w:szCs w:val="18"/>
          <w:lang w:val="en-US"/>
        </w:rPr>
        <w:tab/>
        <w:t>EUGENOL</w:t>
      </w:r>
    </w:p>
    <w:p w:rsidR="002F2F28" w:rsidRPr="007961D9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  <w:r w:rsidRPr="007961D9">
        <w:rPr>
          <w:rFonts w:ascii="Times-Roman" w:hAnsi="Times-Roman" w:cs="Times-Roman"/>
          <w:szCs w:val="18"/>
          <w:lang w:val="en-US"/>
        </w:rPr>
        <w:t xml:space="preserve">EC 260-709-8 </w:t>
      </w:r>
      <w:r w:rsidRPr="007961D9">
        <w:rPr>
          <w:rFonts w:ascii="Times-Roman" w:hAnsi="Times-Roman" w:cs="Times-Roman"/>
          <w:szCs w:val="18"/>
          <w:lang w:val="en-US"/>
        </w:rPr>
        <w:tab/>
      </w:r>
      <w:r>
        <w:rPr>
          <w:rFonts w:ascii="Times-Roman" w:hAnsi="Times-Roman" w:cs="Times-Roman"/>
          <w:szCs w:val="18"/>
          <w:lang w:val="en-US"/>
        </w:rPr>
        <w:tab/>
      </w:r>
      <w:r w:rsidRPr="007961D9">
        <w:rPr>
          <w:rFonts w:ascii="Times-Roman" w:hAnsi="Times-Roman" w:cs="Times-Roman"/>
          <w:szCs w:val="18"/>
          <w:lang w:val="en-US"/>
        </w:rPr>
        <w:t>DELTA-1-(2,6,6-TRIMETHYL-3-CYCLOHEXEN-1-YL)-2-BUTEN-1-ONE</w:t>
      </w:r>
    </w:p>
    <w:p w:rsidR="007961D9" w:rsidRPr="007961D9" w:rsidRDefault="007961D9" w:rsidP="007961D9">
      <w:pPr>
        <w:spacing w:after="0"/>
        <w:rPr>
          <w:rFonts w:ascii="Times-Roman" w:hAnsi="Times-Roman" w:cs="Times-Roman"/>
          <w:szCs w:val="18"/>
          <w:lang w:val="en-US"/>
        </w:rPr>
      </w:pPr>
    </w:p>
    <w:p w:rsidR="002F2F28" w:rsidRPr="00FC58B0" w:rsidRDefault="002F2F28" w:rsidP="002F2F28">
      <w:pPr>
        <w:rPr>
          <w:rFonts w:ascii="Times-Roman" w:hAnsi="Times-Roman" w:cs="Times-Roman"/>
          <w:szCs w:val="18"/>
        </w:rPr>
      </w:pPr>
      <w:r w:rsidRPr="00FC58B0">
        <w:rPr>
          <w:rFonts w:ascii="Times-Roman" w:hAnsi="Times-Roman" w:cs="Times-Roman"/>
          <w:szCs w:val="18"/>
        </w:rPr>
        <w:t>Zagrożenia:</w:t>
      </w:r>
    </w:p>
    <w:p w:rsidR="002F2F28" w:rsidRDefault="002F2F28" w:rsidP="002F2F28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Może powodować reakcję alergiczną.</w:t>
      </w:r>
    </w:p>
    <w:p w:rsidR="002F2F28" w:rsidRDefault="002F2F28" w:rsidP="002F2F28">
      <w:pPr>
        <w:spacing w:after="0"/>
        <w:rPr>
          <w:rFonts w:ascii="Times-Roman" w:hAnsi="Times-Roman" w:cs="Times-Roman"/>
          <w:szCs w:val="18"/>
        </w:rPr>
      </w:pPr>
    </w:p>
    <w:p w:rsidR="009C152F" w:rsidRDefault="009C152F" w:rsidP="009C152F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ogólne:</w:t>
      </w:r>
    </w:p>
    <w:p w:rsidR="009C152F" w:rsidRDefault="009C152F" w:rsidP="009C152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P101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W razie konieczności konsultacji z lekarzem należy mieć przy sobie opakowanie lub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etykietę.</w:t>
      </w:r>
    </w:p>
    <w:p w:rsidR="009C152F" w:rsidRDefault="009C152F" w:rsidP="00DB78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Trzymać z dala od dzieci. </w:t>
      </w:r>
    </w:p>
    <w:p w:rsidR="00E557F0" w:rsidRDefault="00E557F0" w:rsidP="00DB78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P103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Należy przeczytać etykietę przed użyciem.</w:t>
      </w:r>
    </w:p>
    <w:p w:rsidR="002F2F28" w:rsidRDefault="002F2F28" w:rsidP="002F2F2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2F2F28" w:rsidRDefault="002F2F28" w:rsidP="002F2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Środki ostrożności – reagowanie: </w:t>
      </w:r>
    </w:p>
    <w:p w:rsidR="002F2F28" w:rsidRDefault="002F2F28" w:rsidP="002F2F2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P302 + P352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Kontakt ze skórą: przemyć dużą ilością wody </w:t>
      </w:r>
    </w:p>
    <w:p w:rsidR="002F2F28" w:rsidRDefault="002F2F28" w:rsidP="00DB788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P333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Jeżeli nastąpi podrażnienie skóry lub wysypka: skonsultować się z lekarzem.</w:t>
      </w:r>
    </w:p>
    <w:p w:rsidR="004F1B82" w:rsidRDefault="004F1B82" w:rsidP="004F1B8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9C152F" w:rsidRDefault="009C152F" w:rsidP="009C152F">
      <w:pPr>
        <w:rPr>
          <w:rFonts w:ascii="Times-Bold" w:hAnsi="Times-Bold" w:cs="Times-Bold"/>
          <w:b/>
          <w:bCs/>
          <w:szCs w:val="18"/>
        </w:rPr>
      </w:pPr>
      <w:r>
        <w:rPr>
          <w:rFonts w:ascii="Times-Bold" w:hAnsi="Times-Bold" w:cs="Times-Bold"/>
          <w:b/>
          <w:bCs/>
          <w:szCs w:val="18"/>
        </w:rPr>
        <w:t xml:space="preserve">2.3 Inne zagrożenia </w:t>
      </w:r>
    </w:p>
    <w:p w:rsidR="009C152F" w:rsidRDefault="009C152F" w:rsidP="009C152F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lastRenderedPageBreak/>
        <w:t>Mieszanina nie zawiera substancji sklasyfikowanych jako „Substancje wzbudzające szczególnie duże obawy” (SVHC) &gt; = 0.1 % opublikowane przez Europejską Agencję Chemikaliów (ECHA)  w paragrafie 57 rozporządzenia REACH: http://echa.europa.eu/fr/candidate-list-table</w:t>
      </w:r>
    </w:p>
    <w:p w:rsidR="009C152F" w:rsidRDefault="009C152F" w:rsidP="009C152F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 xml:space="preserve">Mieszanina nie spełnia  kryteriów substancji niebezpiecznej PBT i </w:t>
      </w:r>
      <w:proofErr w:type="spellStart"/>
      <w:r>
        <w:rPr>
          <w:rFonts w:ascii="Times-Bold" w:hAnsi="Times-Bold" w:cs="Times-Bold"/>
          <w:bCs/>
          <w:szCs w:val="18"/>
        </w:rPr>
        <w:t>vPvB</w:t>
      </w:r>
      <w:proofErr w:type="spellEnd"/>
      <w:r>
        <w:rPr>
          <w:rFonts w:ascii="Times-Bold" w:hAnsi="Times-Bold" w:cs="Times-Bold"/>
          <w:bCs/>
          <w:szCs w:val="18"/>
        </w:rPr>
        <w:t xml:space="preserve"> zgodnych z aneksem XIII Rozporządzenia REACH EC 1907/2006.</w:t>
      </w:r>
    </w:p>
    <w:p w:rsidR="009C152F" w:rsidRDefault="009C152F" w:rsidP="009C152F">
      <w:pPr>
        <w:rPr>
          <w:rFonts w:ascii="Times-Bold" w:hAnsi="Times-Bold" w:cs="Times-Bold"/>
          <w:bCs/>
          <w:szCs w:val="18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3: SKŁAD/INFORMACJA O SKŁADNIKACH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3.2 Mieszaniny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Skład: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150"/>
        <w:gridCol w:w="2552"/>
        <w:gridCol w:w="1134"/>
        <w:gridCol w:w="2068"/>
      </w:tblGrid>
      <w:tr w:rsidR="009C152F" w:rsidTr="004F1B82">
        <w:tc>
          <w:tcPr>
            <w:tcW w:w="3150" w:type="dxa"/>
          </w:tcPr>
          <w:p w:rsidR="009C152F" w:rsidRPr="00FC58B0" w:rsidRDefault="009C152F" w:rsidP="004F1B82">
            <w:pPr>
              <w:rPr>
                <w:rFonts w:ascii="Times-Roman" w:hAnsi="Times-Roman" w:cs="Times-Roman"/>
                <w:sz w:val="26"/>
              </w:rPr>
            </w:pPr>
            <w:r w:rsidRPr="00FC58B0">
              <w:rPr>
                <w:rFonts w:ascii="Times-Roman" w:hAnsi="Times-Roman" w:cs="Times-Roman"/>
                <w:sz w:val="26"/>
              </w:rPr>
              <w:t>Identyfikacja</w:t>
            </w:r>
          </w:p>
        </w:tc>
        <w:tc>
          <w:tcPr>
            <w:tcW w:w="2552" w:type="dxa"/>
          </w:tcPr>
          <w:p w:rsidR="009C152F" w:rsidRPr="00FC58B0" w:rsidRDefault="009C152F" w:rsidP="004F1B82">
            <w:pPr>
              <w:rPr>
                <w:rFonts w:ascii="Times-Roman" w:hAnsi="Times-Roman" w:cs="Times-Roman"/>
                <w:sz w:val="26"/>
              </w:rPr>
            </w:pPr>
            <w:r w:rsidRPr="00FC58B0">
              <w:rPr>
                <w:rFonts w:ascii="Times-Roman" w:hAnsi="Times-Roman" w:cs="Times-Roman"/>
                <w:sz w:val="26"/>
              </w:rPr>
              <w:t>(EC) 1272/2008</w:t>
            </w:r>
          </w:p>
        </w:tc>
        <w:tc>
          <w:tcPr>
            <w:tcW w:w="1134" w:type="dxa"/>
          </w:tcPr>
          <w:p w:rsidR="009C152F" w:rsidRPr="00FC58B0" w:rsidRDefault="009C152F" w:rsidP="004F1B82">
            <w:pPr>
              <w:rPr>
                <w:rFonts w:ascii="Times-Roman" w:hAnsi="Times-Roman" w:cs="Times-Roman"/>
                <w:sz w:val="26"/>
              </w:rPr>
            </w:pPr>
            <w:r w:rsidRPr="00FC58B0">
              <w:rPr>
                <w:rFonts w:ascii="Times-Roman" w:hAnsi="Times-Roman" w:cs="Times-Roman"/>
                <w:sz w:val="26"/>
              </w:rPr>
              <w:t>Uwagi</w:t>
            </w:r>
          </w:p>
        </w:tc>
        <w:tc>
          <w:tcPr>
            <w:tcW w:w="2068" w:type="dxa"/>
          </w:tcPr>
          <w:p w:rsidR="009C152F" w:rsidRPr="00FC58B0" w:rsidRDefault="009C152F" w:rsidP="004F1B82">
            <w:pPr>
              <w:rPr>
                <w:rFonts w:ascii="Times-Roman" w:hAnsi="Times-Roman" w:cs="Times-Roman"/>
                <w:sz w:val="26"/>
              </w:rPr>
            </w:pPr>
            <w:r w:rsidRPr="00FC58B0">
              <w:rPr>
                <w:rFonts w:ascii="Times-Roman" w:hAnsi="Times-Roman" w:cs="Times-Roman"/>
                <w:sz w:val="26"/>
              </w:rPr>
              <w:t>%</w:t>
            </w:r>
          </w:p>
        </w:tc>
      </w:tr>
      <w:tr w:rsidR="009C152F" w:rsidRPr="003D1F55" w:rsidTr="004F1B82">
        <w:trPr>
          <w:trHeight w:val="919"/>
        </w:trPr>
        <w:tc>
          <w:tcPr>
            <w:tcW w:w="3150" w:type="dxa"/>
          </w:tcPr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CAS: 18479-58-8</w:t>
            </w:r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EC: 242-362-4</w:t>
            </w:r>
          </w:p>
          <w:p w:rsidR="009C152F" w:rsidRPr="007961D9" w:rsidRDefault="007961D9" w:rsidP="007961D9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DIHYDROMYRCENOL</w:t>
            </w:r>
          </w:p>
        </w:tc>
        <w:tc>
          <w:tcPr>
            <w:tcW w:w="2552" w:type="dxa"/>
          </w:tcPr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GHS07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Wng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Skin Irrit. 2, H315</w:t>
            </w:r>
          </w:p>
          <w:p w:rsidR="009C152F" w:rsidRPr="007961D9" w:rsidRDefault="007961D9" w:rsidP="007961D9">
            <w:pPr>
              <w:rPr>
                <w:rFonts w:ascii="Times-Roman" w:hAnsi="Times-Roman" w:cs="Times-Roman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Eye Irrit. </w:t>
            </w:r>
            <w:r>
              <w:rPr>
                <w:rFonts w:ascii="Times-Roman" w:hAnsi="Times-Roman" w:cs="Times-Roman"/>
                <w:sz w:val="18"/>
                <w:szCs w:val="18"/>
              </w:rPr>
              <w:t>2, H319</w:t>
            </w:r>
          </w:p>
        </w:tc>
        <w:tc>
          <w:tcPr>
            <w:tcW w:w="1134" w:type="dxa"/>
          </w:tcPr>
          <w:p w:rsidR="009C152F" w:rsidRPr="007961D9" w:rsidRDefault="009C152F" w:rsidP="004F1B82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2068" w:type="dxa"/>
          </w:tcPr>
          <w:p w:rsidR="009C152F" w:rsidRPr="007961D9" w:rsidRDefault="007961D9" w:rsidP="004F1B82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2.5 &lt;= x % &lt; 10</w:t>
            </w:r>
          </w:p>
        </w:tc>
      </w:tr>
      <w:tr w:rsidR="009C152F" w:rsidRPr="003D1F55" w:rsidTr="004F1B82">
        <w:tc>
          <w:tcPr>
            <w:tcW w:w="3150" w:type="dxa"/>
          </w:tcPr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CAS: 319002-92-1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EC: 437-530-0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PROPYL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(2S)-2-(1,1-DIMETHYLPROPOXY)-PROPAN</w:t>
            </w:r>
          </w:p>
          <w:p w:rsidR="009C152F" w:rsidRPr="007961D9" w:rsidRDefault="007961D9" w:rsidP="007961D9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OATE</w:t>
            </w:r>
          </w:p>
        </w:tc>
        <w:tc>
          <w:tcPr>
            <w:tcW w:w="2552" w:type="dxa"/>
          </w:tcPr>
          <w:p w:rsidR="009C152F" w:rsidRPr="007961D9" w:rsidRDefault="007961D9" w:rsidP="003D1F55">
            <w:pPr>
              <w:rPr>
                <w:rFonts w:ascii="Times-Roman" w:hAnsi="Times-Roman" w:cs="Times-Roman"/>
                <w:lang w:val="en-US"/>
              </w:rPr>
            </w:pP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Aquatic</w:t>
            </w:r>
            <w:proofErr w:type="spellEnd"/>
            <w:r>
              <w:rPr>
                <w:rFonts w:ascii="Times-Roman" w:hAnsi="Times-Roman" w:cs="Times-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Chronic</w:t>
            </w:r>
            <w:proofErr w:type="spellEnd"/>
            <w:r>
              <w:rPr>
                <w:rFonts w:ascii="Times-Roman" w:hAnsi="Times-Roman" w:cs="Times-Roman"/>
                <w:sz w:val="18"/>
                <w:szCs w:val="18"/>
              </w:rPr>
              <w:t xml:space="preserve"> 3, H412</w:t>
            </w:r>
          </w:p>
        </w:tc>
        <w:tc>
          <w:tcPr>
            <w:tcW w:w="1134" w:type="dxa"/>
          </w:tcPr>
          <w:p w:rsidR="00B61C7B" w:rsidRPr="007961D9" w:rsidRDefault="00B61C7B" w:rsidP="004F1B82">
            <w:pPr>
              <w:rPr>
                <w:rFonts w:ascii="Times-Roman" w:hAnsi="Times-Roman" w:cs="Times-Roman"/>
                <w:lang w:val="en-US"/>
              </w:rPr>
            </w:pPr>
          </w:p>
          <w:p w:rsidR="009C152F" w:rsidRPr="007961D9" w:rsidRDefault="009C152F" w:rsidP="00B61C7B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2068" w:type="dxa"/>
          </w:tcPr>
          <w:p w:rsidR="009C152F" w:rsidRPr="007961D9" w:rsidRDefault="007961D9" w:rsidP="004F1B82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2.5 &lt;= x % &lt; 10</w:t>
            </w:r>
          </w:p>
        </w:tc>
      </w:tr>
      <w:tr w:rsidR="009C152F" w:rsidRPr="003D1F55" w:rsidTr="004F1B82">
        <w:tc>
          <w:tcPr>
            <w:tcW w:w="3150" w:type="dxa"/>
          </w:tcPr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CAS: 32210-23-4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EC: 250-954-9</w:t>
            </w:r>
          </w:p>
          <w:p w:rsidR="009C152F" w:rsidRPr="00691692" w:rsidRDefault="007961D9" w:rsidP="007961D9">
            <w:pPr>
              <w:rPr>
                <w:rFonts w:ascii="Times-Roman" w:hAnsi="Times-Roman" w:cs="Times-Roman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4-TERT-BUTYLCYCLOHEXYL ACETATE</w:t>
            </w:r>
          </w:p>
        </w:tc>
        <w:tc>
          <w:tcPr>
            <w:tcW w:w="2552" w:type="dxa"/>
          </w:tcPr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GHS07</w:t>
            </w:r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Wng</w:t>
            </w:r>
            <w:proofErr w:type="spellEnd"/>
          </w:p>
          <w:p w:rsidR="009C152F" w:rsidRPr="007961D9" w:rsidRDefault="007961D9" w:rsidP="007961D9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Skin Sens. 1B, H317</w:t>
            </w:r>
          </w:p>
        </w:tc>
        <w:tc>
          <w:tcPr>
            <w:tcW w:w="1134" w:type="dxa"/>
          </w:tcPr>
          <w:p w:rsidR="009C152F" w:rsidRPr="007961D9" w:rsidRDefault="009C152F" w:rsidP="004F1B82">
            <w:pPr>
              <w:rPr>
                <w:rFonts w:ascii="Times-Roman" w:hAnsi="Times-Roman" w:cs="Times-Roman"/>
                <w:lang w:val="en-US"/>
              </w:rPr>
            </w:pPr>
          </w:p>
        </w:tc>
        <w:tc>
          <w:tcPr>
            <w:tcW w:w="2068" w:type="dxa"/>
          </w:tcPr>
          <w:p w:rsidR="009C152F" w:rsidRPr="007961D9" w:rsidRDefault="007961D9" w:rsidP="004F1B82">
            <w:pPr>
              <w:ind w:firstLine="34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 &lt;= x % &lt; 2.5</w:t>
            </w:r>
          </w:p>
        </w:tc>
      </w:tr>
      <w:tr w:rsidR="009C152F" w:rsidRPr="003D1F55" w:rsidTr="004F1B82">
        <w:tc>
          <w:tcPr>
            <w:tcW w:w="3150" w:type="dxa"/>
          </w:tcPr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CAS: 127-91-3</w:t>
            </w:r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EC: 204-872-5</w:t>
            </w:r>
          </w:p>
          <w:p w:rsidR="009C152F" w:rsidRPr="007961D9" w:rsidRDefault="007961D9" w:rsidP="007961D9">
            <w:pPr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BETA-PINENE</w:t>
            </w:r>
          </w:p>
        </w:tc>
        <w:tc>
          <w:tcPr>
            <w:tcW w:w="2552" w:type="dxa"/>
          </w:tcPr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GHS08, GHS02, GHS07, GHS09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Dgr</w:t>
            </w:r>
            <w:proofErr w:type="spellEnd"/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Flam. Liq. 3, H226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Asp. </w:t>
            </w: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Tox</w:t>
            </w:r>
            <w:proofErr w:type="spellEnd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. 1, H304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Skin </w:t>
            </w: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Irrit</w:t>
            </w:r>
            <w:proofErr w:type="spellEnd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. 2, H315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Skin Sens. 1B, H317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Aquatic Acute 1, H400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M Acute = 1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Aquatic Chronic 1, H410</w:t>
            </w:r>
          </w:p>
          <w:p w:rsidR="009C152F" w:rsidRPr="007961D9" w:rsidRDefault="007961D9" w:rsidP="007961D9">
            <w:pPr>
              <w:ind w:firstLine="33"/>
              <w:rPr>
                <w:rFonts w:ascii="Times-Roman" w:hAnsi="Times-Roman" w:cs="Times-Roman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M Chronic = 1</w:t>
            </w:r>
          </w:p>
        </w:tc>
        <w:tc>
          <w:tcPr>
            <w:tcW w:w="1134" w:type="dxa"/>
          </w:tcPr>
          <w:p w:rsidR="009C152F" w:rsidRPr="007961D9" w:rsidRDefault="003D1F55" w:rsidP="004F1B82">
            <w:pPr>
              <w:rPr>
                <w:rFonts w:ascii="Times-Roman" w:hAnsi="Times-Roman" w:cs="Times-Roman"/>
                <w:lang w:val="en-US"/>
              </w:rPr>
            </w:pPr>
            <w:r w:rsidRPr="007961D9">
              <w:rPr>
                <w:rFonts w:ascii="Times-Roman" w:hAnsi="Times-Roman" w:cs="Times-Roman"/>
                <w:szCs w:val="18"/>
              </w:rPr>
              <w:t>[1]</w:t>
            </w:r>
          </w:p>
        </w:tc>
        <w:tc>
          <w:tcPr>
            <w:tcW w:w="2068" w:type="dxa"/>
          </w:tcPr>
          <w:p w:rsidR="009C152F" w:rsidRPr="007961D9" w:rsidRDefault="003D1F55" w:rsidP="004F1B82">
            <w:pPr>
              <w:rPr>
                <w:rFonts w:ascii="Times-Roman" w:hAnsi="Times-Roman" w:cs="Times-Roman"/>
              </w:rPr>
            </w:pPr>
            <w:r w:rsidRPr="007961D9">
              <w:rPr>
                <w:rFonts w:ascii="Times-Roman" w:hAnsi="Times-Roman" w:cs="Times-Roman"/>
                <w:szCs w:val="18"/>
              </w:rPr>
              <w:t>0 &lt;= x % &lt; 2.5</w:t>
            </w:r>
          </w:p>
        </w:tc>
      </w:tr>
      <w:tr w:rsidR="007961D9" w:rsidRPr="003D1F55" w:rsidTr="004F1B82">
        <w:tc>
          <w:tcPr>
            <w:tcW w:w="3150" w:type="dxa"/>
          </w:tcPr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CAS: 127-51-5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EC: 204-846-3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ALPHA-ISO-METHYLIONONE</w:t>
            </w:r>
          </w:p>
        </w:tc>
        <w:tc>
          <w:tcPr>
            <w:tcW w:w="2552" w:type="dxa"/>
          </w:tcPr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GHS07, GHS09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Wng</w:t>
            </w:r>
            <w:proofErr w:type="spellEnd"/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Eye </w:t>
            </w: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Irrit</w:t>
            </w:r>
            <w:proofErr w:type="spellEnd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. 2, H319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Skin </w:t>
            </w: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Irrit</w:t>
            </w:r>
            <w:proofErr w:type="spellEnd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. 2, H315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Skin Sens. 1B, H317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Aquatic</w:t>
            </w:r>
            <w:proofErr w:type="spellEnd"/>
            <w:r>
              <w:rPr>
                <w:rFonts w:ascii="Times-Roman" w:hAnsi="Times-Roman" w:cs="Times-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Chronic</w:t>
            </w:r>
            <w:proofErr w:type="spellEnd"/>
            <w:r>
              <w:rPr>
                <w:rFonts w:ascii="Times-Roman" w:hAnsi="Times-Roman" w:cs="Times-Roman"/>
                <w:sz w:val="18"/>
                <w:szCs w:val="18"/>
              </w:rPr>
              <w:t xml:space="preserve"> 2, H411</w:t>
            </w:r>
          </w:p>
        </w:tc>
        <w:tc>
          <w:tcPr>
            <w:tcW w:w="1134" w:type="dxa"/>
          </w:tcPr>
          <w:p w:rsidR="007961D9" w:rsidRPr="007961D9" w:rsidRDefault="007961D9" w:rsidP="004F1B82">
            <w:pPr>
              <w:rPr>
                <w:rFonts w:ascii="Times-Roman" w:hAnsi="Times-Roman" w:cs="Times-Roman"/>
                <w:szCs w:val="18"/>
              </w:rPr>
            </w:pPr>
          </w:p>
        </w:tc>
        <w:tc>
          <w:tcPr>
            <w:tcW w:w="2068" w:type="dxa"/>
          </w:tcPr>
          <w:p w:rsidR="007961D9" w:rsidRPr="007961D9" w:rsidRDefault="007961D9" w:rsidP="004F1B82">
            <w:pPr>
              <w:rPr>
                <w:rFonts w:ascii="Times-Roman" w:hAnsi="Times-Roman" w:cs="Times-Roman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 &lt;= x % &lt; 2.5</w:t>
            </w:r>
          </w:p>
        </w:tc>
      </w:tr>
      <w:tr w:rsidR="007961D9" w:rsidRPr="003D1F55" w:rsidTr="004F1B82">
        <w:tc>
          <w:tcPr>
            <w:tcW w:w="3150" w:type="dxa"/>
          </w:tcPr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CAS: 470-82-6</w:t>
            </w:r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EC: 207-431-5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EUCALYPTOL</w:t>
            </w:r>
          </w:p>
        </w:tc>
        <w:tc>
          <w:tcPr>
            <w:tcW w:w="2552" w:type="dxa"/>
          </w:tcPr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GHS02, GHS07</w:t>
            </w:r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Wng</w:t>
            </w:r>
            <w:proofErr w:type="spellEnd"/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 xml:space="preserve">Flam. </w:t>
            </w:r>
            <w:proofErr w:type="spellStart"/>
            <w:r>
              <w:rPr>
                <w:rFonts w:ascii="Times-Roman" w:hAnsi="Times-Roman" w:cs="Times-Roman"/>
                <w:sz w:val="18"/>
                <w:szCs w:val="18"/>
              </w:rPr>
              <w:t>Liq</w:t>
            </w:r>
            <w:proofErr w:type="spellEnd"/>
            <w:r>
              <w:rPr>
                <w:rFonts w:ascii="Times-Roman" w:hAnsi="Times-Roman" w:cs="Times-Roman"/>
                <w:sz w:val="18"/>
                <w:szCs w:val="18"/>
              </w:rPr>
              <w:t>. 3, H226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Skin Sens. 1B, H317</w:t>
            </w:r>
          </w:p>
        </w:tc>
        <w:tc>
          <w:tcPr>
            <w:tcW w:w="1134" w:type="dxa"/>
          </w:tcPr>
          <w:p w:rsidR="007961D9" w:rsidRPr="007961D9" w:rsidRDefault="007961D9" w:rsidP="004F1B82">
            <w:pPr>
              <w:rPr>
                <w:rFonts w:ascii="Times-Roman" w:hAnsi="Times-Roman" w:cs="Times-Roman"/>
                <w:szCs w:val="18"/>
              </w:rPr>
            </w:pPr>
          </w:p>
        </w:tc>
        <w:tc>
          <w:tcPr>
            <w:tcW w:w="2068" w:type="dxa"/>
          </w:tcPr>
          <w:p w:rsidR="007961D9" w:rsidRPr="007961D9" w:rsidRDefault="007961D9" w:rsidP="004F1B82">
            <w:pPr>
              <w:rPr>
                <w:rFonts w:ascii="Times-Roman" w:hAnsi="Times-Roman" w:cs="Times-Roman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 &lt;= x % &lt; 2.5</w:t>
            </w:r>
          </w:p>
        </w:tc>
      </w:tr>
      <w:tr w:rsidR="007961D9" w:rsidRPr="003D1F55" w:rsidTr="004F1B82">
        <w:tc>
          <w:tcPr>
            <w:tcW w:w="3150" w:type="dxa"/>
          </w:tcPr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CAS: 97-53-0</w:t>
            </w:r>
          </w:p>
          <w:p w:rsid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EC: 202-589-1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EUGENOL</w:t>
            </w:r>
          </w:p>
        </w:tc>
        <w:tc>
          <w:tcPr>
            <w:tcW w:w="2552" w:type="dxa"/>
          </w:tcPr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GHS07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Wng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Eye Irrit. 2, H319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Skin Sens. 1B, H317</w:t>
            </w:r>
          </w:p>
        </w:tc>
        <w:tc>
          <w:tcPr>
            <w:tcW w:w="1134" w:type="dxa"/>
          </w:tcPr>
          <w:p w:rsidR="007961D9" w:rsidRPr="00691692" w:rsidRDefault="007961D9" w:rsidP="004F1B82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2068" w:type="dxa"/>
          </w:tcPr>
          <w:p w:rsidR="007961D9" w:rsidRPr="007961D9" w:rsidRDefault="007961D9" w:rsidP="004F1B82">
            <w:pPr>
              <w:rPr>
                <w:rFonts w:ascii="Times-Roman" w:hAnsi="Times-Roman" w:cs="Times-Roman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 &lt;= x % &lt; 2.5</w:t>
            </w:r>
          </w:p>
        </w:tc>
      </w:tr>
      <w:tr w:rsidR="007961D9" w:rsidRPr="003D1F55" w:rsidTr="004F1B82">
        <w:tc>
          <w:tcPr>
            <w:tcW w:w="3150" w:type="dxa"/>
          </w:tcPr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CAS: 57378-68-4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EC: 260-709-8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DELTA-1-(2,6,6-TRIMETHYL-3-CYCLOHEXE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N-1-YL)-2-BUTEN-1-ONE</w:t>
            </w:r>
          </w:p>
        </w:tc>
        <w:tc>
          <w:tcPr>
            <w:tcW w:w="2552" w:type="dxa"/>
          </w:tcPr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GHS07, GHS09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Wng</w:t>
            </w:r>
            <w:proofErr w:type="spellEnd"/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Acute </w:t>
            </w: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Tox</w:t>
            </w:r>
            <w:proofErr w:type="spellEnd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. 4, H302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 xml:space="preserve">Skin </w:t>
            </w:r>
            <w:proofErr w:type="spellStart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Irrit</w:t>
            </w:r>
            <w:proofErr w:type="spellEnd"/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. 2, H315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Skin Sens. 1A, H317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Aquatic Acute 1, H400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7961D9">
              <w:rPr>
                <w:rFonts w:ascii="Times-Roman" w:hAnsi="Times-Roman" w:cs="Times-Roman"/>
                <w:sz w:val="18"/>
                <w:szCs w:val="18"/>
                <w:lang w:val="en-US"/>
              </w:rPr>
              <w:t>M Acute = 1</w:t>
            </w:r>
          </w:p>
          <w:p w:rsidR="007961D9" w:rsidRPr="00691692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lastRenderedPageBreak/>
              <w:t>Aquatic Chronic 1, H410</w:t>
            </w:r>
          </w:p>
          <w:p w:rsidR="007961D9" w:rsidRPr="007961D9" w:rsidRDefault="007961D9" w:rsidP="007961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18"/>
                <w:lang w:val="en-US"/>
              </w:rPr>
            </w:pPr>
            <w:r w:rsidRPr="00691692">
              <w:rPr>
                <w:rFonts w:ascii="Times-Roman" w:hAnsi="Times-Roman" w:cs="Times-Roman"/>
                <w:sz w:val="18"/>
                <w:szCs w:val="18"/>
                <w:lang w:val="en-US"/>
              </w:rPr>
              <w:t>M Chronic = 1</w:t>
            </w:r>
          </w:p>
        </w:tc>
        <w:tc>
          <w:tcPr>
            <w:tcW w:w="1134" w:type="dxa"/>
          </w:tcPr>
          <w:p w:rsidR="007961D9" w:rsidRPr="00691692" w:rsidRDefault="007961D9" w:rsidP="004F1B82">
            <w:pPr>
              <w:rPr>
                <w:rFonts w:ascii="Times-Roman" w:hAnsi="Times-Roman" w:cs="Times-Roman"/>
                <w:szCs w:val="18"/>
                <w:lang w:val="en-US"/>
              </w:rPr>
            </w:pPr>
          </w:p>
        </w:tc>
        <w:tc>
          <w:tcPr>
            <w:tcW w:w="2068" w:type="dxa"/>
          </w:tcPr>
          <w:p w:rsidR="007961D9" w:rsidRPr="007961D9" w:rsidRDefault="007961D9" w:rsidP="004F1B82">
            <w:pPr>
              <w:rPr>
                <w:rFonts w:ascii="Times-Roman" w:hAnsi="Times-Roman" w:cs="Times-Roman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 &lt;= x % &lt; 2.5</w:t>
            </w:r>
          </w:p>
        </w:tc>
      </w:tr>
    </w:tbl>
    <w:p w:rsidR="00651227" w:rsidRDefault="003D1F55" w:rsidP="009C152F">
      <w:pPr>
        <w:spacing w:before="240"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Informacje o składnikach:</w:t>
      </w:r>
    </w:p>
    <w:p w:rsidR="003D1F55" w:rsidRDefault="003D1F55" w:rsidP="003D1F55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[1] Substancja dla której dopuszczony jest maksymalny limit styczności w miejscu pracy.</w:t>
      </w:r>
    </w:p>
    <w:p w:rsidR="00EA44D2" w:rsidRPr="001551B8" w:rsidRDefault="00EA44D2" w:rsidP="009C152F">
      <w:pPr>
        <w:spacing w:before="240" w:after="0"/>
        <w:rPr>
          <w:rFonts w:ascii="Times-Roman" w:hAnsi="Times-Roman" w:cs="Times-Roman"/>
          <w:sz w:val="26"/>
        </w:rPr>
      </w:pP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t>SEKCJA 4: ŚRODKI PIERWSZEJ POMOCY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ramach ogólnej zasady w razie wątpliwości lub w razie utrzymywania się objawów zawsze należy wezwać lekarza.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NIGDY nie należy zmuszać osoby nieprzytomnej do połknięcia substancji.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4.1 Opis środków pierwszej pomocy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W przypadku rozpryśnięcia lub kontaktu z oczami</w:t>
      </w:r>
      <w:r>
        <w:rPr>
          <w:rFonts w:ascii="Times-Roman" w:hAnsi="Times-Roman" w:cs="Times-Roman"/>
        </w:rPr>
        <w:t>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Umyć dokładnie świeżą, czystą wodą przez 15 minut, mając otwarte powieki.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Jeżeli wystąpi zaczerwienienie, ból lub zaburzenie widzenia, skonsultować się z okulistą.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W przypadku rozpryśnięcia lub kontaktu ze skórą: </w:t>
      </w:r>
    </w:p>
    <w:p w:rsidR="00EA44D2" w:rsidRPr="00EA44D2" w:rsidRDefault="00EA44D2" w:rsidP="00EA44D2">
      <w:pPr>
        <w:rPr>
          <w:rFonts w:ascii="Times-Roman" w:hAnsi="Times-Roman" w:cs="Times-Roman"/>
        </w:rPr>
      </w:pPr>
      <w:r w:rsidRPr="00EA44D2">
        <w:rPr>
          <w:rFonts w:ascii="Times-Roman" w:hAnsi="Times-Roman" w:cs="Times-Roman"/>
        </w:rPr>
        <w:t xml:space="preserve">Usunąć skażone ubranie i umyć dokładnie skórę wodą z mydłem lub odpowiednią substancją myjącą. </w:t>
      </w:r>
    </w:p>
    <w:p w:rsidR="00EA44D2" w:rsidRPr="00EA44D2" w:rsidRDefault="00EA44D2" w:rsidP="00EA44D2">
      <w:pPr>
        <w:rPr>
          <w:rFonts w:ascii="Times-Roman" w:hAnsi="Times-Roman" w:cs="Times-Roman"/>
        </w:rPr>
      </w:pPr>
      <w:r w:rsidRPr="00EA44D2">
        <w:rPr>
          <w:rFonts w:ascii="Times-Roman" w:hAnsi="Times-Roman" w:cs="Times-Roman"/>
        </w:rPr>
        <w:t>Uważać na pozostałości produktu między skórą i ubraniem, zegarkiem, butami itd.</w:t>
      </w:r>
    </w:p>
    <w:p w:rsidR="00EA44D2" w:rsidRPr="00EA44D2" w:rsidRDefault="00EA44D2" w:rsidP="00EA44D2">
      <w:pPr>
        <w:rPr>
          <w:rFonts w:ascii="Times-Roman" w:hAnsi="Times-Roman" w:cs="Times-Roman"/>
        </w:rPr>
      </w:pPr>
      <w:r w:rsidRPr="00EA44D2">
        <w:rPr>
          <w:rFonts w:ascii="Times-Roman" w:hAnsi="Times-Roman" w:cs="Times-Roman"/>
        </w:rPr>
        <w:t xml:space="preserve">W przypadku wystąpienia reakcji alergicznej należy zwrócić się o pomoc lekarską. </w:t>
      </w:r>
    </w:p>
    <w:p w:rsidR="00EA44D2" w:rsidRPr="00EA44D2" w:rsidRDefault="00EA44D2" w:rsidP="00EA44D2">
      <w:pPr>
        <w:rPr>
          <w:rFonts w:ascii="Times-Roman" w:hAnsi="Times-Roman" w:cs="Times-Roman"/>
        </w:rPr>
      </w:pPr>
      <w:r w:rsidRPr="00EA44D2">
        <w:rPr>
          <w:rFonts w:ascii="Times-Roman" w:hAnsi="Times-Roman" w:cs="Times-Roman"/>
        </w:rPr>
        <w:t xml:space="preserve">Jeżeli skażony obszar jest rozległy i/lub nastąpiło uszkodzenie skóry, należy wezwać lekarza, lub przewieźć pacjenta do szpitala.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połknięcia:</w:t>
      </w:r>
    </w:p>
    <w:p w:rsidR="00EA44D2" w:rsidRDefault="00EA44D2" w:rsidP="00EA44D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podawać pacjentowi nic doustnie.</w:t>
      </w:r>
    </w:p>
    <w:p w:rsidR="00EA44D2" w:rsidRDefault="00EA44D2" w:rsidP="00EA44D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przypadku połknięcia, jeżeli ilość była niewielka (nie większa niż jeden łyk), przepłukać wodą jamę ustną i skonsultować się z lekarzem.</w:t>
      </w:r>
    </w:p>
    <w:p w:rsidR="00EA44D2" w:rsidRDefault="00EA44D2" w:rsidP="00EA44D2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natychmiast zwrócić się o pomoc lekarską pokazując etykietę.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4.2. Najważniejsze ostre i opóźnione objawy oraz skutki narażenia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4.3. Wskazania dotyczące wszelkiej natychmiastowej pomocy lekarskiej i szczególnego postępowania z poszkodowanym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5: POSTĘPOWANIE W PRZYPADKU POŻARU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Środek nie palny.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5.1. Środki gaśnicze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5.2. Szczególne zagrożenia związane z substancją lub mieszaniną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Ogień często wydziela gęsty czarny dym. Narażenie się na kontakt z substancjami rozkładu może być szkodliwe dla zdrowia.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wdychać dymu.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razie pożaru mogą wydzielić się następujące związki: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5.3. Informacje dla straży pożarnej</w:t>
      </w:r>
    </w:p>
    <w:p w:rsidR="00EA44D2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3D1F55" w:rsidRDefault="003D1F55" w:rsidP="009C152F">
      <w:pPr>
        <w:rPr>
          <w:rFonts w:ascii="Times-Roman" w:hAnsi="Times-Roman" w:cs="Times-Roman"/>
        </w:rPr>
      </w:pPr>
    </w:p>
    <w:p w:rsidR="009C152F" w:rsidRPr="00EA44D2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t>SEKCJA 6: POSTĘPOWANIE W PRZYPADKU NIEZAMIERZONEGO UWOLNIENIA DO ŚRODOWISKA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6.1. Indywidualne środki ostrożności, wyposażenie ochronne i procedury w sytuacjach awaryjnych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zapoznać się ze środkami bezpieczeństwa z sekcji 7 i 8.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Dla pracowników nie będących pracownikami wyznaczonymi do pierwszej pomocy: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jakiegokolwiek kontaktu ze skórą i oczami.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6.2. Środki ostrożności w zakresie ochrony środowiska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przedostaniu się materiału do ścieków i dróg wodnych.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6.3. Metody i materiały zapobiegające rozprzestrzenianiu się skażenia i służące do usuwania skażenia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</w:t>
      </w:r>
      <w:r w:rsidR="00CA00AD">
        <w:rPr>
          <w:rFonts w:ascii="Times-Roman" w:hAnsi="Times-Roman" w:cs="Times-Roman"/>
        </w:rPr>
        <w:t xml:space="preserve">produkt </w:t>
      </w:r>
      <w:r>
        <w:rPr>
          <w:rFonts w:ascii="Times-Roman" w:hAnsi="Times-Roman" w:cs="Times-Roman"/>
        </w:rPr>
        <w:t xml:space="preserve">mechanicznie (zamiecenie /odkurzenie).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6.4. Odniesienia do innych sekcji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7: POSTĘPOWANIE Z SUBSTANCJAMI I MIESZANINAMI ORAZ ICH MAGAZYNOWANIE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Wymagania dotyczące pomieszczeń magazynowych odnoszą się do wszystkich pomieszczeń gdzie mieszanina jest przetrzymywana.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7.1. Środki ostrożności dotyczące bezpiecznego postępowania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Zawsze umyć ręce po kontakcie z mieszaniną.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Zdjąć i wyprać skażone ubranie przed następnym użyciem.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Zapobieganie pożaru: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dostępu nieupoważnionym pracownikom.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Rekomendowany sprzęt i postępowanie: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Dotyczące ochrony osobistej - sekcja 8.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Zapoznać się ze środkami ostrożności znajdującymi się na etykiecie oraz z przepisami dotyczącymi bezpieczeństwa w przemyśle.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Zakazany sprzęt i postępowanie: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palić, nie jeść oraz nie pić w miejscach używania mieszaniny.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7.2. Warunki bezpiecznego magazynowania, łącznie z informacjami dotyczącymi wszelkich wzajemnych niezgodności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Magazynowanie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Trzymać z dala od dzieci.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przechowywać poniżej 5 stopni C i powyżej 30 stopni C.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Pakowanie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Zawsze przechowywać w opakowaniu z materiału identycznego jak materiał oryginalnego opakowania.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7.3. Szczególne zastosowanie(a) końcowe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8: KONTROLA NARAŻENIA/ŚRODKI OCHRONY INDYWIDUALNEJ</w:t>
      </w:r>
    </w:p>
    <w:p w:rsidR="00DB7886" w:rsidRDefault="009C152F" w:rsidP="00E66B87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</w:t>
      </w:r>
      <w:r w:rsidR="007F3F70">
        <w:rPr>
          <w:rFonts w:ascii="Times-Roman" w:hAnsi="Times-Roman" w:cs="Times-Roman"/>
          <w:b/>
        </w:rPr>
        <w:t>1. Parametry dotyczące kontroli</w:t>
      </w:r>
    </w:p>
    <w:p w:rsidR="005C2358" w:rsidRDefault="005C2358" w:rsidP="005C2358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Wartości graniczne ekspozycji zawodowej: </w:t>
      </w:r>
    </w:p>
    <w:p w:rsidR="005C2358" w:rsidRDefault="005C2358" w:rsidP="005C2358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ACGIH TLV (American Conference of </w:t>
      </w:r>
      <w:proofErr w:type="spellStart"/>
      <w:r>
        <w:rPr>
          <w:rFonts w:ascii="Times-Roman" w:hAnsi="Times-Roman" w:cs="Times-Roman"/>
        </w:rPr>
        <w:t>Governmental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Industrial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Hygienists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Threshold</w:t>
      </w:r>
      <w:proofErr w:type="spellEnd"/>
      <w:r>
        <w:rPr>
          <w:rFonts w:ascii="Times-Roman" w:hAnsi="Times-Roman" w:cs="Times-Roman"/>
        </w:rPr>
        <w:t xml:space="preserve"> Limit </w:t>
      </w:r>
      <w:proofErr w:type="spellStart"/>
      <w:r>
        <w:rPr>
          <w:rFonts w:ascii="Times-Roman" w:hAnsi="Times-Roman" w:cs="Times-Roman"/>
        </w:rPr>
        <w:t>Values</w:t>
      </w:r>
      <w:proofErr w:type="spellEnd"/>
      <w:r>
        <w:rPr>
          <w:rFonts w:ascii="Times-Roman" w:hAnsi="Times-Roman" w:cs="Times-Roman"/>
        </w:rPr>
        <w:t>, 2010 – Amerykańska Konferencja Rządowych Higienistów Przemysłowych, lista progowych wartości granicznych)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828"/>
        <w:gridCol w:w="1535"/>
        <w:gridCol w:w="1535"/>
        <w:gridCol w:w="1536"/>
        <w:gridCol w:w="1536"/>
      </w:tblGrid>
      <w:tr w:rsidR="005C2358" w:rsidRPr="009B06CF" w:rsidTr="00637C70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</w:rPr>
              <w:t>STEL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B78">
              <w:rPr>
                <w:rFonts w:ascii="Times New Roman" w:hAnsi="Times New Roman" w:cs="Times New Roman"/>
                <w:sz w:val="24"/>
                <w:szCs w:val="24"/>
              </w:rPr>
              <w:t>Ceiling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 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 :</w:t>
            </w:r>
          </w:p>
        </w:tc>
      </w:tr>
      <w:tr w:rsidR="005C2358" w:rsidRPr="009B06CF" w:rsidTr="00637C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137B7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127-91-3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137B7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37B78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358" w:rsidRPr="00137B78" w:rsidRDefault="00137B7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78">
              <w:rPr>
                <w:rFonts w:ascii="Times New Roman" w:hAnsi="Times New Roman" w:cs="Times New Roman"/>
                <w:sz w:val="24"/>
                <w:szCs w:val="24"/>
              </w:rPr>
              <w:t>SEN; A4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8" w:rsidRPr="00137B78" w:rsidRDefault="005C2358" w:rsidP="00637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358" w:rsidRDefault="005C2358" w:rsidP="009C152F">
      <w:pPr>
        <w:rPr>
          <w:rFonts w:ascii="Times-Roman" w:hAnsi="Times-Roman" w:cs="Times-Roman"/>
          <w:b/>
        </w:rPr>
      </w:pP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8.2. Kontrola narażenia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- Ochrona oczu / twarzy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kontaktu z oczami.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9: WŁAŚCIWOŚCI FIZYCZNE I CHEMICZNE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9.1. Informacje na temat podstawowych właściwości fizycznych i chemicznych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Informacje ogólne: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Stan fizyczny: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stały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Istotne informacje dotyczące zdrowia, bezpieczeństwa i środowiska</w:t>
      </w:r>
    </w:p>
    <w:p w:rsidR="00CA00AD" w:rsidRDefault="00CA00AD" w:rsidP="00CA00AD">
      <w:pPr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pH</w:t>
      </w:r>
      <w:proofErr w:type="spellEnd"/>
      <w:r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 wrzenia: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CA00AD" w:rsidRDefault="00691692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punkt zapłonu</w:t>
      </w:r>
      <w:r w:rsidR="00CA00AD">
        <w:rPr>
          <w:rFonts w:ascii="Times-Roman" w:hAnsi="Times-Roman" w:cs="Times-Roman"/>
        </w:rPr>
        <w:t xml:space="preserve">: </w:t>
      </w:r>
      <w:r w:rsidR="00CA00AD">
        <w:rPr>
          <w:rFonts w:ascii="Times-Roman" w:hAnsi="Times-Roman" w:cs="Times-Roman"/>
        </w:rPr>
        <w:tab/>
      </w:r>
      <w:r w:rsidR="00CA00AD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bookmarkStart w:id="0" w:name="_GoBack"/>
      <w:bookmarkEnd w:id="0"/>
      <w:r w:rsidR="00CA00AD">
        <w:rPr>
          <w:rFonts w:ascii="Times-Roman" w:hAnsi="Times-Roman" w:cs="Times-Roman"/>
        </w:rPr>
        <w:tab/>
        <w:t>nie dotyczy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Ciśnienie pary (50</w:t>
      </w:r>
      <w:r>
        <w:t xml:space="preserve"> </w:t>
      </w:r>
      <w:r>
        <w:rPr>
          <w:rFonts w:ascii="Times-Roman" w:hAnsi="Times-Roman" w:cs="Times-Roman"/>
        </w:rPr>
        <w:t>°C):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Gęstość: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Rozpuszczalność w wodzie: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nierozpuszczalny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topnienia: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samozapłonu: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CA00AD" w:rsidRDefault="00CA00AD" w:rsidP="00CA00AD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Punkt rozkładu: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9.2. Inne informacje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10: STABILNOŚĆ I REAKTYWNOŚĆ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10.1. Reaktywność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10.2. Stabilność chemiczna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Ta mieszanina jest stabilna w przypadku spełnienia warunków rekomendowanego postępowania i magazynowania wskazanych w sekcji 7.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10.3. Możliwość występowania niebezpiecznych reakcji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10.4. Warunki, których należy unikać</w:t>
      </w:r>
    </w:p>
    <w:p w:rsidR="00DB7886" w:rsidRDefault="00CA00AD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10.5. Materiały niezgodne</w:t>
      </w:r>
    </w:p>
    <w:p w:rsidR="00CA00AD" w:rsidRPr="00CA00AD" w:rsidRDefault="00CA00AD" w:rsidP="009C152F">
      <w:pPr>
        <w:rPr>
          <w:rFonts w:ascii="Times-Roman" w:hAnsi="Times-Roman" w:cs="Times-Roman"/>
        </w:rPr>
      </w:pPr>
      <w:r w:rsidRPr="00CA00AD">
        <w:rPr>
          <w:rFonts w:ascii="Times-Roman" w:hAnsi="Times-Roman" w:cs="Times-Roman"/>
        </w:rPr>
        <w:t xml:space="preserve">Brak danych.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10.6. Niebezpieczne produkty rozkładu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czasie termicznego rozkładu może się wydzielać/ tworzyć: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11: INFORMACJE TOKSYKOLOGICZNE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 Informacje dotyczące skutków toksykologicznych</w:t>
      </w:r>
    </w:p>
    <w:p w:rsidR="009C152F" w:rsidRDefault="00CA00AD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11.1.1 Substancje</w:t>
      </w:r>
    </w:p>
    <w:p w:rsidR="009C152F" w:rsidRPr="00AA1267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Toksyczność ostra: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  <w:lang w:val="en-US"/>
        </w:rPr>
      </w:pPr>
      <w:r w:rsidRPr="00137B78">
        <w:rPr>
          <w:rFonts w:ascii="Times-Roman" w:hAnsi="Times-Roman" w:cs="Times-Roman"/>
          <w:lang w:val="en-US"/>
        </w:rPr>
        <w:t>DELTA-1-(2,6,6-TRIMETHYL-3-CYCLOHEXEN-1-YL)-2-BUTEN-1-ONE (CAS: 57378-68-4)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</w:rPr>
      </w:pPr>
      <w:r w:rsidRPr="00137B78">
        <w:rPr>
          <w:rFonts w:ascii="Times-Roman" w:hAnsi="Times-Roman" w:cs="Times-Roman"/>
        </w:rPr>
        <w:t xml:space="preserve">Droga doustna 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137B78">
        <w:rPr>
          <w:rFonts w:ascii="Times-Roman" w:hAnsi="Times-Roman" w:cs="Times-Roman"/>
        </w:rPr>
        <w:t>LD50 = 1400 mg/kg\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</w:rPr>
      </w:pP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  <w:r w:rsidRPr="00691692">
        <w:rPr>
          <w:rFonts w:ascii="Times-Roman" w:hAnsi="Times-Roman" w:cs="Times-Roman"/>
        </w:rPr>
        <w:t>EUGENOL (CAS: 97-53-0)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  <w:r w:rsidRPr="00137B78">
        <w:rPr>
          <w:rFonts w:ascii="Times-Roman" w:hAnsi="Times-Roman" w:cs="Times-Roman"/>
        </w:rPr>
        <w:t>Droga doustna</w:t>
      </w:r>
      <w:r w:rsidRPr="00691692">
        <w:rPr>
          <w:rFonts w:ascii="Times-Roman" w:hAnsi="Times-Roman" w:cs="Times-Roman"/>
        </w:rPr>
        <w:t xml:space="preserve">: </w:t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  <w:t>LD50 = 2300 mg/kg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  <w:r w:rsidRPr="00691692">
        <w:rPr>
          <w:rFonts w:ascii="Times-Roman" w:hAnsi="Times-Roman" w:cs="Times-Roman"/>
        </w:rPr>
        <w:t>EUCALYPTOL (CAS: 470-82-6)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  <w:r w:rsidRPr="00691692">
        <w:rPr>
          <w:rFonts w:ascii="Times-Roman" w:hAnsi="Times-Roman" w:cs="Times-Roman"/>
        </w:rPr>
        <w:t xml:space="preserve">Droga doustna: </w:t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</w:r>
      <w:r w:rsidRPr="00691692">
        <w:rPr>
          <w:rFonts w:ascii="Times-Roman" w:hAnsi="Times-Roman" w:cs="Times-Roman"/>
        </w:rPr>
        <w:tab/>
        <w:t>LD50 = 2480 mg/kg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  <w:r w:rsidRPr="00691692">
        <w:rPr>
          <w:rFonts w:ascii="Times-Roman" w:hAnsi="Times-Roman" w:cs="Times-Roman"/>
        </w:rPr>
        <w:t>4-TERT-BUTYLCYCLOHEXYL ACETATE (CAS: 32210-23-4)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</w:rPr>
      </w:pPr>
      <w:r w:rsidRPr="00137B78">
        <w:rPr>
          <w:rFonts w:ascii="Times-Roman" w:hAnsi="Times-Roman" w:cs="Times-Roman"/>
        </w:rPr>
        <w:t xml:space="preserve">Droga doustna: </w:t>
      </w:r>
      <w:r w:rsidRPr="00137B78">
        <w:rPr>
          <w:rFonts w:ascii="Times-Roman" w:hAnsi="Times-Roman" w:cs="Times-Roman"/>
        </w:rPr>
        <w:tab/>
      </w:r>
      <w:r w:rsidRPr="00137B78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137B78">
        <w:rPr>
          <w:rFonts w:ascii="Times-Roman" w:hAnsi="Times-Roman" w:cs="Times-Roman"/>
        </w:rPr>
        <w:t>LD50 = 3370 mg/kg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</w:rPr>
      </w:pPr>
    </w:p>
    <w:p w:rsidR="00137B78" w:rsidRPr="00137B78" w:rsidRDefault="00137B78" w:rsidP="00137B78">
      <w:pPr>
        <w:spacing w:after="0"/>
        <w:rPr>
          <w:rFonts w:ascii="Times-Roman" w:hAnsi="Times-Roman" w:cs="Times-Roman"/>
        </w:rPr>
      </w:pPr>
      <w:r w:rsidRPr="00137B78">
        <w:rPr>
          <w:rFonts w:ascii="Times-Roman" w:hAnsi="Times-Roman" w:cs="Times-Roman"/>
        </w:rPr>
        <w:t>DIHYDROMYRCENOL (CAS: 18479-58-8)</w:t>
      </w:r>
    </w:p>
    <w:p w:rsidR="003D1F55" w:rsidRPr="00137B78" w:rsidRDefault="00137B78" w:rsidP="00137B78">
      <w:pPr>
        <w:spacing w:after="0"/>
        <w:rPr>
          <w:rFonts w:ascii="Times-Roman" w:hAnsi="Times-Roman" w:cs="Times-Roman"/>
        </w:rPr>
      </w:pPr>
      <w:r w:rsidRPr="00137B78">
        <w:rPr>
          <w:rFonts w:ascii="Times-Roman" w:hAnsi="Times-Roman" w:cs="Times-Roman"/>
        </w:rPr>
        <w:t xml:space="preserve">Droga doustna: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137B78">
        <w:rPr>
          <w:rFonts w:ascii="Times-Roman" w:hAnsi="Times-Roman" w:cs="Times-Roman"/>
        </w:rPr>
        <w:t>LD50 = 3600 mg/kg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  <w:b/>
        </w:rPr>
      </w:pPr>
    </w:p>
    <w:p w:rsidR="009C152F" w:rsidRPr="00137B78" w:rsidRDefault="009C152F" w:rsidP="009C152F">
      <w:pPr>
        <w:spacing w:after="0"/>
        <w:rPr>
          <w:rFonts w:ascii="Times-Roman" w:hAnsi="Times-Roman" w:cs="Times-Roman"/>
          <w:b/>
        </w:rPr>
      </w:pPr>
      <w:r w:rsidRPr="00137B78">
        <w:rPr>
          <w:rFonts w:ascii="Times-Roman" w:hAnsi="Times-Roman" w:cs="Times-Roman"/>
          <w:b/>
        </w:rPr>
        <w:t>11.1.2 Mieszanina</w:t>
      </w:r>
    </w:p>
    <w:p w:rsidR="009C152F" w:rsidRPr="00137B78" w:rsidRDefault="009C152F" w:rsidP="009C152F">
      <w:pPr>
        <w:spacing w:after="0"/>
        <w:rPr>
          <w:rFonts w:ascii="Times-Roman" w:hAnsi="Times-Roman" w:cs="Times-Roman"/>
          <w:b/>
        </w:rPr>
      </w:pPr>
    </w:p>
    <w:p w:rsidR="00CD703A" w:rsidRPr="003D1F55" w:rsidRDefault="003D1F55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toksykologicznych danych dla mieszaniny. </w:t>
      </w:r>
    </w:p>
    <w:p w:rsidR="005D2350" w:rsidRDefault="005D2350" w:rsidP="009C152F">
      <w:pPr>
        <w:spacing w:after="0"/>
        <w:rPr>
          <w:rFonts w:ascii="Times-Roman" w:hAnsi="Times-Roman" w:cs="Times-Roman"/>
        </w:rPr>
      </w:pPr>
    </w:p>
    <w:p w:rsidR="009C152F" w:rsidRPr="00997D46" w:rsidRDefault="009C152F" w:rsidP="009C152F">
      <w:pPr>
        <w:spacing w:after="0"/>
        <w:rPr>
          <w:rFonts w:ascii="Times-Roman" w:hAnsi="Times-Roman" w:cs="Times-Roman"/>
        </w:rPr>
      </w:pPr>
    </w:p>
    <w:p w:rsidR="009C152F" w:rsidRDefault="009C152F" w:rsidP="009C152F">
      <w:pPr>
        <w:spacing w:after="0"/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lastRenderedPageBreak/>
        <w:t>SEKCJA 12: INFORMACJE EKOLOGICZNE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</w:p>
    <w:p w:rsidR="009C152F" w:rsidRDefault="009C152F" w:rsidP="009C152F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 Toksyczność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12.1.2. Mieszaniny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 dotyczących toksyczności mieszaniny dla środowisk wodnych.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12.2. Trwałość i zdolność do rozkładu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12.3. Zdolność do bioakumulacji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12.4. Mobilność w glebie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12.5. Wyniki oceny właściwości PBT i </w:t>
      </w:r>
      <w:proofErr w:type="spellStart"/>
      <w:r>
        <w:rPr>
          <w:rFonts w:ascii="Times-Roman" w:hAnsi="Times-Roman" w:cs="Times-Roman"/>
          <w:b/>
        </w:rPr>
        <w:t>vPvB</w:t>
      </w:r>
      <w:proofErr w:type="spellEnd"/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12.6. Inne szkodliwe skutki działania</w:t>
      </w:r>
    </w:p>
    <w:p w:rsidR="009C152F" w:rsidRDefault="009C152F" w:rsidP="009C152F">
      <w:pPr>
        <w:spacing w:before="24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137B78" w:rsidRPr="00352663" w:rsidRDefault="00137B78" w:rsidP="009C152F">
      <w:pPr>
        <w:spacing w:before="240"/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13: POSTĘPOWANIE Z ODPADAMI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Odpowiednie gospodarowanie odpadami z mieszaniny i/lub jej pojemnika muszą być określone zgodnie z Dyrektywą 2008/98/EC.</w:t>
      </w:r>
    </w:p>
    <w:p w:rsidR="00997D46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13.1. Metody unieszkodliwiania odpadów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wylewać do ścieków lub dróg wodnych.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Odpady: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Gospodarowanie odpadami odbywa się bez stwarzania zagrożenia dla ludzkiego zdrowia, bez zagrażania środowisku oraz, w szczególności, bez zagrażania wodzie, glebie, roślinom czy zwierzętom.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Poddawać recyklingowi i utylizować zgodnie z obowiązującym prawem, najlepiej przez certyfikowaną firmę.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skażać odpadami ziemi lub wody, nie wyrzucać ich do środowiska. 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Opakowania zabrudzone: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Całkowicie opróżnić opakowanie. Pozostawić etykietę na opakowaniu.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Oddać certyfikowanemu odbiorcy odpadów. </w:t>
      </w: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lastRenderedPageBreak/>
        <w:t>SEKCJA 14: INFORMACJE DOTYCZĄCE TRANSPORTU</w:t>
      </w:r>
    </w:p>
    <w:p w:rsidR="00937945" w:rsidRDefault="00CD703A" w:rsidP="00937945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NIESKLASYFIKOWANA JAKO NIEBEZPIECZNA W TRANSPORCIE</w:t>
      </w:r>
    </w:p>
    <w:p w:rsidR="00937945" w:rsidRDefault="00937945" w:rsidP="00937945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14.1. Numer UN</w:t>
      </w:r>
    </w:p>
    <w:p w:rsidR="00937945" w:rsidRDefault="00CD703A" w:rsidP="00937945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937945" w:rsidRDefault="00937945" w:rsidP="00937945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</w:rPr>
        <w:t>14.2. Prawidłowa nazwa przewozowa UN</w:t>
      </w:r>
    </w:p>
    <w:p w:rsidR="00F10101" w:rsidRPr="00296ADD" w:rsidRDefault="00CD703A" w:rsidP="00F10101">
      <w:pPr>
        <w:rPr>
          <w:rFonts w:ascii="Times-Roman" w:hAnsi="Times-Roman" w:cs="Times-Roman"/>
          <w:szCs w:val="18"/>
        </w:rPr>
      </w:pPr>
      <w:r w:rsidRPr="00296ADD">
        <w:rPr>
          <w:rFonts w:ascii="Times-Roman" w:hAnsi="Times-Roman" w:cs="Times-Roman"/>
          <w:szCs w:val="18"/>
        </w:rPr>
        <w:t>-</w:t>
      </w:r>
    </w:p>
    <w:p w:rsidR="00937945" w:rsidRDefault="00937945" w:rsidP="00F10101">
      <w:pPr>
        <w:rPr>
          <w:rFonts w:ascii="Times-Roman" w:hAnsi="Times-Roman" w:cs="Times-Roman"/>
          <w:b/>
        </w:rPr>
      </w:pPr>
      <w:r w:rsidRPr="00E557F0">
        <w:rPr>
          <w:rFonts w:ascii="Times-Roman" w:hAnsi="Times-Roman" w:cs="Times-Roman"/>
          <w:b/>
        </w:rPr>
        <w:t xml:space="preserve">14.3. </w:t>
      </w:r>
      <w:r>
        <w:rPr>
          <w:rFonts w:ascii="Times-Roman" w:hAnsi="Times-Roman" w:cs="Times-Roman"/>
          <w:b/>
        </w:rPr>
        <w:t>Klasa(-y) zagrożenia w transporcie</w:t>
      </w:r>
    </w:p>
    <w:p w:rsidR="00937945" w:rsidRDefault="00CD703A" w:rsidP="00937945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937945" w:rsidRDefault="00937945" w:rsidP="00937945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14.4. Grupa pakowania</w:t>
      </w:r>
    </w:p>
    <w:p w:rsidR="00937945" w:rsidRDefault="00CD703A" w:rsidP="00937945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937945" w:rsidRDefault="00937945" w:rsidP="00937945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14.5. Zagrożenia dla środowiska</w:t>
      </w:r>
    </w:p>
    <w:p w:rsidR="00937945" w:rsidRDefault="00CD703A" w:rsidP="00937945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937945" w:rsidRPr="004C3DBA" w:rsidRDefault="00937945" w:rsidP="00937945">
      <w:pPr>
        <w:rPr>
          <w:rFonts w:ascii="Times-Roman" w:hAnsi="Times-Roman" w:cs="Times-Roman"/>
          <w:b/>
        </w:rPr>
      </w:pPr>
      <w:r w:rsidRPr="004C3DBA">
        <w:rPr>
          <w:rFonts w:ascii="Times-Roman" w:hAnsi="Times-Roman" w:cs="Times-Roman"/>
          <w:b/>
        </w:rPr>
        <w:t>14.6.</w:t>
      </w:r>
      <w:r>
        <w:rPr>
          <w:rFonts w:ascii="Times-Roman" w:hAnsi="Times-Roman" w:cs="Times-Roman"/>
          <w:b/>
        </w:rPr>
        <w:t xml:space="preserve"> Szczególne środki ostrożności dla użytkowników</w:t>
      </w:r>
    </w:p>
    <w:p w:rsidR="003D1F55" w:rsidRDefault="00CD703A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137B78" w:rsidRDefault="00137B78" w:rsidP="009C152F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9C152F" w:rsidRPr="003D1F55" w:rsidRDefault="009C152F" w:rsidP="009C152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-Roman" w:hAnsi="Times-Roman" w:cs="Times-Roman"/>
          <w:b/>
          <w:sz w:val="26"/>
        </w:rPr>
        <w:t>SEKCJA 15: INFORMACJE DOTYCZĄCE PRZEPISÓW PRAWNYCH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15.1. Przepisy prawne dotyczące bezpieczeństwa, zdrowia i ochrony środowiska specyficzne dla substancji lub mieszaniny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Klasyfikacja i informacje zawarte na etykiecie zawarte w sekcji 2: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Uwzględnione zostały następujące rozporządzenia: 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</w:rPr>
      </w:pPr>
      <w:r w:rsidRPr="00691692">
        <w:rPr>
          <w:rFonts w:ascii="Times-Roman" w:hAnsi="Times-Roman" w:cs="Times-Roman"/>
        </w:rPr>
        <w:t>- EU Regulation No. 1272/2008 amended by EU Regulation No. 487/2013.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  <w:lang w:val="en-US"/>
        </w:rPr>
      </w:pPr>
      <w:r w:rsidRPr="00137B78">
        <w:rPr>
          <w:rFonts w:ascii="Times-Roman" w:hAnsi="Times-Roman" w:cs="Times-Roman"/>
          <w:lang w:val="en-US"/>
        </w:rPr>
        <w:t>- EU Regulation No. 1272/2008 amended by EU Regulation No. 758/2013.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  <w:lang w:val="en-US"/>
        </w:rPr>
      </w:pPr>
      <w:r w:rsidRPr="00137B78">
        <w:rPr>
          <w:rFonts w:ascii="Times-Roman" w:hAnsi="Times-Roman" w:cs="Times-Roman"/>
          <w:lang w:val="en-US"/>
        </w:rPr>
        <w:t>- EU Regulation No. 1272/2008 amended by EU Regulation No. 944/2013.</w:t>
      </w:r>
    </w:p>
    <w:p w:rsidR="00137B78" w:rsidRPr="00137B78" w:rsidRDefault="00137B78" w:rsidP="00137B78">
      <w:pPr>
        <w:spacing w:after="0"/>
        <w:rPr>
          <w:rFonts w:ascii="Times-Roman" w:hAnsi="Times-Roman" w:cs="Times-Roman"/>
          <w:lang w:val="en-US"/>
        </w:rPr>
      </w:pPr>
      <w:r w:rsidRPr="00137B78">
        <w:rPr>
          <w:rFonts w:ascii="Times-Roman" w:hAnsi="Times-Roman" w:cs="Times-Roman"/>
          <w:lang w:val="en-US"/>
        </w:rPr>
        <w:t>- EU Regulation No. 1272/2008 amended by EU Regulation No. 605/2014.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  <w:b/>
          <w:lang w:val="en-US"/>
        </w:rPr>
      </w:pPr>
      <w:r w:rsidRPr="00691692">
        <w:rPr>
          <w:rFonts w:ascii="Times-Roman" w:hAnsi="Times-Roman" w:cs="Times-Roman"/>
          <w:lang w:val="en-US"/>
        </w:rPr>
        <w:t>- EU Regulation No. 1272/2008 amended by EU Regulation No. 1297/2014.</w:t>
      </w:r>
      <w:r w:rsidRPr="00691692">
        <w:rPr>
          <w:rFonts w:ascii="Times-Roman" w:hAnsi="Times-Roman" w:cs="Times-Roman"/>
          <w:b/>
          <w:lang w:val="en-US"/>
        </w:rPr>
        <w:t xml:space="preserve"> </w:t>
      </w:r>
    </w:p>
    <w:p w:rsidR="00137B78" w:rsidRPr="00691692" w:rsidRDefault="00137B78" w:rsidP="00137B78">
      <w:pPr>
        <w:spacing w:after="0"/>
        <w:rPr>
          <w:rFonts w:ascii="Times-Roman" w:hAnsi="Times-Roman" w:cs="Times-Roman"/>
          <w:b/>
          <w:lang w:val="en-US"/>
        </w:rPr>
      </w:pPr>
    </w:p>
    <w:p w:rsidR="009C152F" w:rsidRDefault="009C152F" w:rsidP="00137B78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Informacje o opakowaniu: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jest przechowywana w opakowaniu nieprzekraczającym 125 ml.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Przepisy specjalne: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15.2. Ocena bezpieczeństwa chemicznego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Brak danych.</w:t>
      </w:r>
    </w:p>
    <w:p w:rsidR="009C152F" w:rsidRDefault="009C152F" w:rsidP="009C152F">
      <w:pPr>
        <w:rPr>
          <w:rFonts w:ascii="Times-Roman" w:hAnsi="Times-Roman" w:cs="Times-Roman"/>
        </w:rPr>
      </w:pPr>
    </w:p>
    <w:p w:rsidR="009C152F" w:rsidRDefault="009C152F" w:rsidP="009C152F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16: INNE INFORMACJE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związku z tym, że warunki miejsca pracy użytkowników nie są nam znane, informacje zawarte w tej karcie charakterystyki są opracowane w oparciu o  nasz obecny poziom wiedzy oraz o państwowe i lokalne przepisy.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Mieszanina nie może być używana do innych celów niż określone w sekcji 1 bez wcześniejszego uzyskania pisemnej instrukcji postępowania z mieszaniną.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Obowiązkiem użytkownika jest aby zawsze podejmować wszelkie niezbędne kroki mające na celu spełnienie wymagań prawnych i lokalnych przepisów.  </w:t>
      </w:r>
    </w:p>
    <w:p w:rsidR="009C152F" w:rsidRDefault="009C152F" w:rsidP="009C152F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Informacje zawarte w tej karcie charakterystyki muszą być traktowane jako opis wymagań bezpieczeństwa dotyczących mieszaniny a nie jako gwarancja jej właściwości.</w:t>
      </w:r>
    </w:p>
    <w:p w:rsidR="009C152F" w:rsidRPr="00A776AD" w:rsidRDefault="009C152F" w:rsidP="009C152F">
      <w:pPr>
        <w:tabs>
          <w:tab w:val="left" w:pos="5850"/>
        </w:tabs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Rozwinięcie zwrotów zawartych w sekcji 3: </w:t>
      </w:r>
      <w:r>
        <w:rPr>
          <w:rFonts w:ascii="Times-Roman" w:hAnsi="Times-Roman" w:cs="Times-Roman"/>
          <w:b/>
        </w:rPr>
        <w:tab/>
      </w:r>
    </w:p>
    <w:p w:rsidR="00137B78" w:rsidRDefault="00137B78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H226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Łatwopalna ciecz i opar.</w:t>
      </w:r>
    </w:p>
    <w:p w:rsidR="000D308F" w:rsidRDefault="00F10101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H302</w:t>
      </w:r>
      <w:r w:rsidR="000D308F">
        <w:rPr>
          <w:rFonts w:ascii="Times-Roman" w:hAnsi="Times-Roman" w:cs="Times-Roman"/>
        </w:rPr>
        <w:tab/>
      </w:r>
      <w:r w:rsidR="000D308F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Szkodliwa w przypadku połknięcia.</w:t>
      </w:r>
    </w:p>
    <w:p w:rsidR="00137B78" w:rsidRDefault="00137B78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H304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Może być śmiertelna w przypadku połknięcia lub przedostania się do dróg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oddechowych.</w:t>
      </w:r>
    </w:p>
    <w:p w:rsidR="00752DF2" w:rsidRDefault="00752DF2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H315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podrażnienie skóry.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H317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Może powodować alergiczną reakcję skóry.</w:t>
      </w:r>
    </w:p>
    <w:p w:rsidR="00752DF2" w:rsidRDefault="00752DF2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H319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poważne podrażnienie oczu.</w:t>
      </w:r>
    </w:p>
    <w:p w:rsidR="005C2358" w:rsidRDefault="005C2358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H400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toksyczna dla środowiska wodnego.</w:t>
      </w:r>
    </w:p>
    <w:p w:rsidR="005C2358" w:rsidRDefault="005C2358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H410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toksyczna dla środowiska wodnego z długotrwałym efektem.</w:t>
      </w:r>
    </w:p>
    <w:p w:rsidR="009C152F" w:rsidRDefault="005C2358" w:rsidP="00E66B87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H411</w:t>
      </w:r>
      <w:r w:rsidR="009C152F">
        <w:rPr>
          <w:rFonts w:ascii="Times-Roman" w:hAnsi="Times-Roman" w:cs="Times-Roman"/>
        </w:rPr>
        <w:tab/>
      </w:r>
      <w:r w:rsidR="009C152F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Toksyczna</w:t>
      </w:r>
      <w:r w:rsidR="009C152F">
        <w:rPr>
          <w:rFonts w:ascii="Times-Roman" w:hAnsi="Times-Roman" w:cs="Times-Roman"/>
        </w:rPr>
        <w:t xml:space="preserve"> dla środowiska wodnego z długotrwałym efektem.</w:t>
      </w:r>
    </w:p>
    <w:p w:rsidR="0047366F" w:rsidRDefault="0047366F" w:rsidP="00E66B87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Szkodliwa dla środowiska wodnego z długotrwałym efektem. </w:t>
      </w:r>
    </w:p>
    <w:p w:rsidR="00E66B87" w:rsidRDefault="00E66B87" w:rsidP="00E66B87">
      <w:pPr>
        <w:spacing w:after="0"/>
        <w:rPr>
          <w:rFonts w:ascii="Times-Roman" w:hAnsi="Times-Roman" w:cs="Times-Roman"/>
        </w:rPr>
      </w:pPr>
    </w:p>
    <w:p w:rsidR="00752DF2" w:rsidRDefault="00752DF2" w:rsidP="009C152F">
      <w:pPr>
        <w:rPr>
          <w:rFonts w:ascii="Times-Roman" w:hAnsi="Times-Roman" w:cs="Times-Roman"/>
          <w:b/>
        </w:rPr>
      </w:pPr>
    </w:p>
    <w:p w:rsidR="009C152F" w:rsidRDefault="009C152F" w:rsidP="009C152F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Skróty: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ADR: Europejskie porozumienie dotyczące międzynarodowego transportu drogowego  ładunków niebezpiecznych 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IMDG: International </w:t>
      </w:r>
      <w:proofErr w:type="spellStart"/>
      <w:r>
        <w:rPr>
          <w:rFonts w:ascii="Times-Roman" w:hAnsi="Times-Roman" w:cs="Times-Roman"/>
        </w:rPr>
        <w:t>Maritime</w:t>
      </w:r>
      <w:proofErr w:type="spellEnd"/>
      <w:r>
        <w:rPr>
          <w:rFonts w:ascii="Times-Roman" w:hAnsi="Times-Roman" w:cs="Times-Roman"/>
        </w:rPr>
        <w:t xml:space="preserve"> Dangerous </w:t>
      </w:r>
      <w:proofErr w:type="spellStart"/>
      <w:r>
        <w:rPr>
          <w:rFonts w:ascii="Times-Roman" w:hAnsi="Times-Roman" w:cs="Times-Roman"/>
        </w:rPr>
        <w:t>Goods</w:t>
      </w:r>
      <w:proofErr w:type="spellEnd"/>
      <w:r>
        <w:rPr>
          <w:rFonts w:ascii="Times-Roman" w:hAnsi="Times-Roman" w:cs="Times-Roman"/>
        </w:rPr>
        <w:t xml:space="preserve"> – przepisy dotyczące transport morskiego towarów niebezpiecznych 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IATA: International </w:t>
      </w:r>
      <w:proofErr w:type="spellStart"/>
      <w:r>
        <w:rPr>
          <w:rFonts w:ascii="Times-Roman" w:hAnsi="Times-Roman" w:cs="Times-Roman"/>
        </w:rPr>
        <w:t>Air</w:t>
      </w:r>
      <w:proofErr w:type="spellEnd"/>
      <w:r>
        <w:rPr>
          <w:rFonts w:ascii="Times-Roman" w:hAnsi="Times-Roman" w:cs="Times-Roman"/>
        </w:rPr>
        <w:t xml:space="preserve"> Transport </w:t>
      </w:r>
      <w:proofErr w:type="spellStart"/>
      <w:r>
        <w:rPr>
          <w:rFonts w:ascii="Times-Roman" w:hAnsi="Times-Roman" w:cs="Times-Roman"/>
        </w:rPr>
        <w:t>Association</w:t>
      </w:r>
      <w:proofErr w:type="spellEnd"/>
      <w:r>
        <w:rPr>
          <w:rFonts w:ascii="Times-Roman" w:hAnsi="Times-Roman" w:cs="Times-Roman"/>
        </w:rPr>
        <w:t xml:space="preserve"> – Międzynarodowe Zrzeszenie Przewoźników Powietrznych 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ICAO: International </w:t>
      </w:r>
      <w:proofErr w:type="spellStart"/>
      <w:r>
        <w:rPr>
          <w:rFonts w:ascii="Times-Roman" w:hAnsi="Times-Roman" w:cs="Times-Roman"/>
        </w:rPr>
        <w:t>Civil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Aviation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Organisation</w:t>
      </w:r>
      <w:proofErr w:type="spellEnd"/>
      <w:r>
        <w:rPr>
          <w:rFonts w:ascii="Times-Roman" w:hAnsi="Times-Roman" w:cs="Times-Roman"/>
        </w:rPr>
        <w:t xml:space="preserve"> - Organizacja Międzynarodowego Lotnictwa Cywilnego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RID: Rozporządzenie dotyczące Międzynarodowego przewozu towarów niebezpiecznych koleją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WGK: </w:t>
      </w:r>
      <w:proofErr w:type="spellStart"/>
      <w:r>
        <w:rPr>
          <w:rFonts w:ascii="Times-Roman" w:hAnsi="Times-Roman" w:cs="Times-Roman"/>
        </w:rPr>
        <w:t>Wassergefahrdungsklasse</w:t>
      </w:r>
      <w:proofErr w:type="spellEnd"/>
      <w:r>
        <w:rPr>
          <w:rFonts w:ascii="Times-Roman" w:hAnsi="Times-Roman" w:cs="Times-Roman"/>
        </w:rPr>
        <w:t xml:space="preserve">  - Klasa szkodliwości dla wody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GHS07: Wykrzyknik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GHS09: Środowisko 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PBT: </w:t>
      </w:r>
      <w:proofErr w:type="spellStart"/>
      <w:r>
        <w:rPr>
          <w:rFonts w:ascii="Times-Roman" w:hAnsi="Times-Roman" w:cs="Times-Roman"/>
        </w:rPr>
        <w:t>Persistent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bioaccumulable</w:t>
      </w:r>
      <w:proofErr w:type="spellEnd"/>
      <w:r>
        <w:rPr>
          <w:rFonts w:ascii="Times-Roman" w:hAnsi="Times-Roman" w:cs="Times-Roman"/>
        </w:rPr>
        <w:t xml:space="preserve"> and </w:t>
      </w:r>
      <w:proofErr w:type="spellStart"/>
      <w:r>
        <w:rPr>
          <w:rFonts w:ascii="Times-Roman" w:hAnsi="Times-Roman" w:cs="Times-Roman"/>
        </w:rPr>
        <w:t>toxic</w:t>
      </w:r>
      <w:proofErr w:type="spellEnd"/>
      <w:r>
        <w:rPr>
          <w:rFonts w:ascii="Times-Roman" w:hAnsi="Times-Roman" w:cs="Times-Roman"/>
        </w:rPr>
        <w:t xml:space="preserve">. (trwały,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 xml:space="preserve"> i toksyczny).</w:t>
      </w:r>
    </w:p>
    <w:p w:rsidR="009C152F" w:rsidRDefault="009C152F" w:rsidP="009C152F">
      <w:pPr>
        <w:spacing w:after="0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  <w:lang w:val="en-US"/>
        </w:rPr>
        <w:t>vPvB</w:t>
      </w:r>
      <w:proofErr w:type="spellEnd"/>
      <w:r>
        <w:rPr>
          <w:rFonts w:ascii="Times-Roman" w:hAnsi="Times-Roman" w:cs="Times-Roman"/>
          <w:lang w:val="en-US"/>
        </w:rPr>
        <w:t xml:space="preserve">: Very persistent, very </w:t>
      </w:r>
      <w:proofErr w:type="spellStart"/>
      <w:r>
        <w:rPr>
          <w:rFonts w:ascii="Times-Roman" w:hAnsi="Times-Roman" w:cs="Times-Roman"/>
          <w:lang w:val="en-US"/>
        </w:rPr>
        <w:t>bioaccumulable</w:t>
      </w:r>
      <w:proofErr w:type="spellEnd"/>
      <w:r>
        <w:rPr>
          <w:rFonts w:ascii="Times-Roman" w:hAnsi="Times-Roman" w:cs="Times-Roman"/>
          <w:lang w:val="en-US"/>
        </w:rPr>
        <w:t xml:space="preserve">. </w:t>
      </w:r>
      <w:r>
        <w:rPr>
          <w:rFonts w:ascii="Times-Roman" w:hAnsi="Times-Roman" w:cs="Times-Roman"/>
        </w:rPr>
        <w:t xml:space="preserve">(bardzo trwały, bardzo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>).</w:t>
      </w:r>
    </w:p>
    <w:p w:rsidR="009C152F" w:rsidRPr="00E934C8" w:rsidRDefault="009C152F" w:rsidP="009C152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SVHC: </w:t>
      </w:r>
      <w:proofErr w:type="spellStart"/>
      <w:r>
        <w:rPr>
          <w:rFonts w:ascii="Times-Roman" w:hAnsi="Times-Roman" w:cs="Times-Roman"/>
        </w:rPr>
        <w:t>Substances</w:t>
      </w:r>
      <w:proofErr w:type="spellEnd"/>
      <w:r>
        <w:rPr>
          <w:rFonts w:ascii="Times-Roman" w:hAnsi="Times-Roman" w:cs="Times-Roman"/>
        </w:rPr>
        <w:t xml:space="preserve"> of very high </w:t>
      </w:r>
      <w:proofErr w:type="spellStart"/>
      <w:r>
        <w:rPr>
          <w:rFonts w:ascii="Times-Roman" w:hAnsi="Times-Roman" w:cs="Times-Roman"/>
        </w:rPr>
        <w:t>concern</w:t>
      </w:r>
      <w:proofErr w:type="spellEnd"/>
      <w:r>
        <w:rPr>
          <w:rFonts w:ascii="Times-Roman" w:hAnsi="Times-Roman" w:cs="Times-Roman"/>
        </w:rPr>
        <w:t>. (Substancje wzbudzające szczególnie duże obawy).</w:t>
      </w:r>
    </w:p>
    <w:p w:rsidR="009C152F" w:rsidRDefault="009C152F" w:rsidP="009C152F"/>
    <w:p w:rsidR="009C152F" w:rsidRPr="00846CFE" w:rsidRDefault="009C152F" w:rsidP="009C152F"/>
    <w:p w:rsidR="00366017" w:rsidRPr="009C152F" w:rsidRDefault="00366017" w:rsidP="009C152F"/>
    <w:sectPr w:rsidR="00366017" w:rsidRPr="009C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34"/>
    <w:rsid w:val="000144DF"/>
    <w:rsid w:val="00026434"/>
    <w:rsid w:val="00033C38"/>
    <w:rsid w:val="00033FB9"/>
    <w:rsid w:val="00075734"/>
    <w:rsid w:val="0008230D"/>
    <w:rsid w:val="000D308F"/>
    <w:rsid w:val="00137B78"/>
    <w:rsid w:val="001551B8"/>
    <w:rsid w:val="00205D48"/>
    <w:rsid w:val="00260A39"/>
    <w:rsid w:val="00296ADD"/>
    <w:rsid w:val="002A013B"/>
    <w:rsid w:val="002C5AB0"/>
    <w:rsid w:val="002E5EDF"/>
    <w:rsid w:val="002F2F28"/>
    <w:rsid w:val="002F4292"/>
    <w:rsid w:val="00352663"/>
    <w:rsid w:val="00366017"/>
    <w:rsid w:val="0039578B"/>
    <w:rsid w:val="003C5003"/>
    <w:rsid w:val="003D1F55"/>
    <w:rsid w:val="003D491A"/>
    <w:rsid w:val="0047366F"/>
    <w:rsid w:val="004758FA"/>
    <w:rsid w:val="00482227"/>
    <w:rsid w:val="004D3BC8"/>
    <w:rsid w:val="004F1B82"/>
    <w:rsid w:val="005042DE"/>
    <w:rsid w:val="00566D3C"/>
    <w:rsid w:val="005A2D64"/>
    <w:rsid w:val="005C2358"/>
    <w:rsid w:val="005D2350"/>
    <w:rsid w:val="005F2335"/>
    <w:rsid w:val="0064630E"/>
    <w:rsid w:val="00651227"/>
    <w:rsid w:val="0066394E"/>
    <w:rsid w:val="00676194"/>
    <w:rsid w:val="00691692"/>
    <w:rsid w:val="006C3E97"/>
    <w:rsid w:val="007165EF"/>
    <w:rsid w:val="00731121"/>
    <w:rsid w:val="00752DF2"/>
    <w:rsid w:val="007749CF"/>
    <w:rsid w:val="007961D9"/>
    <w:rsid w:val="007D209F"/>
    <w:rsid w:val="007F3F70"/>
    <w:rsid w:val="008056E9"/>
    <w:rsid w:val="00806812"/>
    <w:rsid w:val="008354AE"/>
    <w:rsid w:val="008A4BF2"/>
    <w:rsid w:val="00913610"/>
    <w:rsid w:val="00937410"/>
    <w:rsid w:val="00937945"/>
    <w:rsid w:val="00997D46"/>
    <w:rsid w:val="009A79F5"/>
    <w:rsid w:val="009B06CF"/>
    <w:rsid w:val="009C152F"/>
    <w:rsid w:val="00A2755C"/>
    <w:rsid w:val="00A30DF2"/>
    <w:rsid w:val="00A63CA9"/>
    <w:rsid w:val="00A776AD"/>
    <w:rsid w:val="00A834A3"/>
    <w:rsid w:val="00AA1267"/>
    <w:rsid w:val="00AB0702"/>
    <w:rsid w:val="00AC6359"/>
    <w:rsid w:val="00B104AE"/>
    <w:rsid w:val="00B212E5"/>
    <w:rsid w:val="00B30B6C"/>
    <w:rsid w:val="00B61C7B"/>
    <w:rsid w:val="00BD6808"/>
    <w:rsid w:val="00C477AA"/>
    <w:rsid w:val="00C51963"/>
    <w:rsid w:val="00C7235A"/>
    <w:rsid w:val="00C77352"/>
    <w:rsid w:val="00CA00AD"/>
    <w:rsid w:val="00CC6839"/>
    <w:rsid w:val="00CD5857"/>
    <w:rsid w:val="00CD703A"/>
    <w:rsid w:val="00CE54D2"/>
    <w:rsid w:val="00D04117"/>
    <w:rsid w:val="00D10E46"/>
    <w:rsid w:val="00D17109"/>
    <w:rsid w:val="00D82017"/>
    <w:rsid w:val="00D960AA"/>
    <w:rsid w:val="00DB7886"/>
    <w:rsid w:val="00E557F0"/>
    <w:rsid w:val="00E66B87"/>
    <w:rsid w:val="00E72798"/>
    <w:rsid w:val="00E934C8"/>
    <w:rsid w:val="00EA2065"/>
    <w:rsid w:val="00EA44D2"/>
    <w:rsid w:val="00EB78A1"/>
    <w:rsid w:val="00EC78BE"/>
    <w:rsid w:val="00F05DC0"/>
    <w:rsid w:val="00F10101"/>
    <w:rsid w:val="00F54513"/>
    <w:rsid w:val="00F63806"/>
    <w:rsid w:val="00F646E6"/>
    <w:rsid w:val="00F86534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0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3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0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2041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Dutka</dc:creator>
  <cp:lastModifiedBy>Katarzyna Dutka</cp:lastModifiedBy>
  <cp:revision>3</cp:revision>
  <dcterms:created xsi:type="dcterms:W3CDTF">2018-02-19T08:37:00Z</dcterms:created>
  <dcterms:modified xsi:type="dcterms:W3CDTF">2018-06-20T07:01:00Z</dcterms:modified>
</cp:coreProperties>
</file>